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PROJECTE 3 TRAMITACIÓ EXPEDIENTS JUDICIALS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INDEX NF2.2 EXPEDIENT DE MONITORI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 xml:space="preserve">1- Dades del procediment: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 xml:space="preserve">Demandant, quantia del deute pendent, data i document que reflecteix el deute, data de les cartes de reclamació, data de la petició de monitori.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Demandat, Postulació del demandat, data de l’escrit d’oposició.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2- Comanda (especificar les condicions de pagament o / Contracte de Compra-Venda.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3- Albarà.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4- Factura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5- Rebuts impagats.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6 i 7- Cartes de reclamació de pagament. (1ª recordatòria del deute, 2ª Avisar que si no paga s'iniciarà un procés de reclamació de quantia).  La quantitat reclamada és de + de 6.000 euros.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8- Petició inicial de monitori.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9- Diligència d'Ordenació. Lletrat de l’A.J. (conforme s'admet a tràmit la petició inicial de monitori),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 xml:space="preserve">10- Cèdula de Requeriment. Lletrat de l’A.J. </w:t>
      </w:r>
    </w:p>
    <w:p>
      <w:pPr>
        <w:pStyle w:val="Normal"/>
        <w:spacing w:lineRule="auto" w:line="360" w:before="57" w:after="57"/>
        <w:rPr/>
      </w:pPr>
      <w:r>
        <w:rPr>
          <w:rFonts w:ascii="Arial" w:hAnsi="Arial"/>
        </w:rPr>
        <w:t>10.1- Dilligència Positiva de Notificació i Requeriment (opcional).</w:t>
      </w:r>
    </w:p>
    <w:p>
      <w:pPr>
        <w:pStyle w:val="Normal"/>
        <w:spacing w:lineRule="auto" w:line="360" w:before="57" w:after="57"/>
        <w:rPr/>
      </w:pPr>
      <w:r>
        <w:rPr>
          <w:rFonts w:ascii="Arial" w:hAnsi="Arial"/>
          <w:b/>
          <w:u w:val="single"/>
        </w:rPr>
        <w:t>Supòsit A: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11. Escrit d'oposició.  Demandat.  Ha d’haver-hi Advocat/Procurador (el deute és superior a 2.000 euros; en aquest supòsit és de +6.000, doncs posteriorment es seguirà el procediment ordinari)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 xml:space="preserve">12- Poders Notarials  (Demandat).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13- Diligència d'Ordenació conforme s'ha presentat l'escrit d'oposició.  Lletrat de l’A.J.</w:t>
      </w:r>
    </w:p>
    <w:p>
      <w:pPr>
        <w:pStyle w:val="Normal"/>
        <w:spacing w:lineRule="auto" w:line="360" w:before="57" w:after="57"/>
        <w:rPr>
          <w:rFonts w:ascii="Arial" w:hAnsi="Arial"/>
        </w:rPr>
      </w:pPr>
      <w:r>
        <w:rPr>
          <w:rFonts w:ascii="Arial" w:hAnsi="Arial"/>
        </w:rPr>
        <w:t>14- Decret.  Lletrat de l’A.J., conforme s'ha presentat la Demanda d'ordinari i es tanca el procés de monitori.  (entre el document 13 i el 14 haurà  d’haver-hi un mes, que és la data que s’ha presentat la Demanda de procediment Ordinari).</w:t>
      </w:r>
    </w:p>
    <w:p>
      <w:pPr>
        <w:pStyle w:val="Normal"/>
        <w:spacing w:lineRule="auto" w:line="360" w:before="57" w:after="57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Supòsit B: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15- Diligència Negativa Requeriment de Pagament.  Cos d'Auxili Judicial.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16- Diligència de Constància.  Lletrat de l’A.J., conforme s'ha requeriment pel pagament al Demandat.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  <w:t>17- Decret.  Lletrat de l’A.J., es tanca el monitori i es dona pas a que el demandant iniciï la Demanda Executiva.</w:t>
      </w:r>
    </w:p>
    <w:sectPr>
      <w:headerReference w:type="default" r:id="rId2"/>
      <w:footerReference w:type="default" r:id="rId3"/>
      <w:type w:val="nextPage"/>
      <w:pgSz w:w="11906" w:h="16838"/>
      <w:pgMar w:left="1701" w:right="99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7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635"/>
      <w:gridCol w:w="2582"/>
      <w:gridCol w:w="1101"/>
      <w:gridCol w:w="981"/>
      <w:gridCol w:w="1230"/>
      <w:gridCol w:w="546"/>
      <w:gridCol w:w="1228"/>
      <w:gridCol w:w="1071"/>
    </w:tblGrid>
    <w:tr>
      <w:trPr>
        <w:trHeight w:val="294" w:hRule="atLeast"/>
        <w:cantSplit w:val="true"/>
      </w:trPr>
      <w:tc>
        <w:tcPr>
          <w:tcW w:w="635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tabs>
              <w:tab w:val="clear" w:pos="8504"/>
              <w:tab w:val="center" w:pos="4252" w:leader="none"/>
            </w:tabs>
            <w:rPr>
              <w:rFonts w:ascii="Arial" w:hAnsi="Arial" w:cs="Arial"/>
              <w:b/>
              <w:b/>
              <w:sz w:val="16"/>
              <w:szCs w:val="16"/>
            </w:rPr>
          </w:pPr>
          <w:r>
            <w:rPr/>
            <w:drawing>
              <wp:inline distT="0" distB="0" distL="0" distR="0">
                <wp:extent cx="238125" cy="276225"/>
                <wp:effectExtent l="0" t="0" r="0" b="0"/>
                <wp:docPr id="2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 xml:space="preserve">Generalitat de Catalunya </w:t>
          </w:r>
        </w:p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Departament d’Educació</w:t>
          </w:r>
        </w:p>
        <w:p>
          <w:pPr>
            <w:pStyle w:val="Peudepgina"/>
            <w:widowControl w:val="false"/>
            <w:rPr>
              <w:rFonts w:ascii="Arial" w:hAnsi="Arial" w:cs="Arial"/>
              <w:b/>
              <w:b/>
              <w:color w:val="808080"/>
              <w:sz w:val="16"/>
              <w:szCs w:val="16"/>
            </w:rPr>
          </w:pPr>
          <w:r>
            <w:rPr>
              <w:rFonts w:cs="Arial" w:ascii="Arial" w:hAnsi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31/08/2020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Model intern</w:t>
          </w:r>
        </w:p>
      </w:tc>
      <w:tc>
        <w:tcPr>
          <w:tcW w:w="1071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  <w:color w:val="808080"/>
            </w:rPr>
            <w:instrText> PAGE </w:instrTex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separate"/>
          </w:r>
          <w:r>
            <w:rPr>
              <w:sz w:val="16"/>
              <w:szCs w:val="16"/>
              <w:rFonts w:cs="Arial" w:ascii="Arial" w:hAnsi="Arial"/>
              <w:color w:val="808080"/>
            </w:rPr>
            <w:t>1</w: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end"/>
          </w:r>
          <w:r>
            <w:rPr>
              <w:rFonts w:cs="Arial" w:ascii="Arial" w:hAnsi="Arial"/>
              <w:color w:val="808080"/>
              <w:sz w:val="16"/>
              <w:szCs w:val="16"/>
            </w:rPr>
            <w:t xml:space="preserve"> </w:t>
          </w:r>
          <w:r>
            <w:rPr>
              <w:rFonts w:cs="Arial" w:ascii="Arial" w:hAnsi="Arial"/>
              <w:color w:val="808080"/>
              <w:sz w:val="16"/>
              <w:szCs w:val="16"/>
            </w:rPr>
            <w:t xml:space="preserve">de </w:t>
          </w:r>
          <w:r>
            <w:rPr>
              <w:rFonts w:cs="Arial"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  <w:color w:val="808080"/>
            </w:rPr>
            <w:instrText> NUMPAGES </w:instrTex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separate"/>
          </w:r>
          <w:r>
            <w:rPr>
              <w:sz w:val="16"/>
              <w:szCs w:val="16"/>
              <w:rFonts w:cs="Arial" w:ascii="Arial" w:hAnsi="Arial"/>
              <w:color w:val="808080"/>
            </w:rPr>
            <w:t>1</w: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end"/>
          </w:r>
        </w:p>
      </w:tc>
    </w:tr>
    <w:tr>
      <w:trPr>
        <w:trHeight w:val="239" w:hRule="atLeast"/>
        <w:cantSplit w:val="true"/>
      </w:trPr>
      <w:tc>
        <w:tcPr>
          <w:tcW w:w="635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  <w:tc>
        <w:tcPr>
          <w:tcW w:w="2582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versió  6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MO-CAP013</w:t>
          </w:r>
        </w:p>
      </w:tc>
      <w:tc>
        <w:tcPr>
          <w:tcW w:w="1071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</w:tr>
  </w:tbl>
  <w:p>
    <w:pPr>
      <w:pStyle w:val="Peudepgina"/>
      <w:rPr/>
    </w:pPr>
    <w:r>
      <w:rPr/>
    </w:r>
  </w:p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21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85"/>
      <w:gridCol w:w="8128"/>
    </w:tblGrid>
    <w:tr>
      <w:trPr/>
      <w:tc>
        <w:tcPr>
          <w:tcW w:w="10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palera"/>
            <w:widowControl/>
            <w:spacing w:before="0" w:after="0"/>
            <w:jc w:val="left"/>
            <w:rPr>
              <w:rFonts w:ascii="Arial" w:hAnsi="Arial" w:cs="Arial"/>
              <w:lang w:eastAsia="es-ES"/>
            </w:rPr>
          </w:pPr>
          <w:r>
            <w:rPr>
              <w:rFonts w:eastAsia="Calibri" w:cs="Arial" w:ascii="Arial" w:hAnsi="Arial"/>
              <w:kern w:val="0"/>
              <w:sz w:val="20"/>
              <w:szCs w:val="20"/>
              <w:lang w:eastAsia="es-ES" w:bidi="ar-SA"/>
            </w:rPr>
          </w:r>
        </w:p>
      </w:tc>
      <w:tc>
        <w:tcPr>
          <w:tcW w:w="81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palera"/>
            <w:widowControl/>
            <w:spacing w:before="0" w:after="0"/>
            <w:jc w:val="right"/>
            <w:rPr>
              <w:rFonts w:ascii="Arial" w:hAnsi="Arial" w:cs="Arial"/>
              <w:sz w:val="16"/>
              <w:szCs w:val="16"/>
              <w:lang w:val="en-US" w:eastAsia="es-ES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val="en-US" w:eastAsia="es-ES" w:bidi="ar-SA"/>
            </w:rPr>
            <w:t>DEPARTAMENT ADMINISTRATIU</w:t>
          </w:r>
        </w:p>
        <w:p>
          <w:pPr>
            <w:pStyle w:val="Capalera"/>
            <w:widowControl/>
            <w:spacing w:before="0" w:after="0"/>
            <w:jc w:val="right"/>
            <w:rPr>
              <w:rFonts w:ascii="Arial" w:hAnsi="Arial" w:cs="Arial"/>
              <w:sz w:val="16"/>
              <w:szCs w:val="16"/>
              <w:lang w:val="en-US" w:eastAsia="es-ES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val="en-US" w:eastAsia="es-ES" w:bidi="ar-SA"/>
            </w:rPr>
            <w:t>CFGM JURÍDIC 2n</w:t>
          </w:r>
        </w:p>
        <w:p>
          <w:pPr>
            <w:pStyle w:val="Capalera"/>
            <w:widowControl/>
            <w:spacing w:before="0" w:after="0"/>
            <w:jc w:val="right"/>
            <w:rPr>
              <w:rFonts w:ascii="Arial" w:hAnsi="Arial" w:cs="Arial"/>
              <w:sz w:val="14"/>
              <w:szCs w:val="14"/>
              <w:lang w:eastAsia="es-ES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eastAsia="es-ES" w:bidi="ar-SA"/>
            </w:rPr>
            <w:t>M10  PROJECTE EMPRESA SECTOR JURÍDIC</w:t>
          </w:r>
        </w:p>
        <w:p>
          <w:pPr>
            <w:pStyle w:val="Capalera"/>
            <w:widowControl/>
            <w:spacing w:before="0" w:after="0"/>
            <w:jc w:val="right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eastAsia="es-ES" w:bidi="ar-SA"/>
            </w:rPr>
          </w:r>
        </w:p>
      </w:tc>
    </w:tr>
  </w:tbl>
  <w:p>
    <w:pPr>
      <w:pStyle w:val="Capalera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-984885</wp:posOffset>
          </wp:positionH>
          <wp:positionV relativeFrom="paragraph">
            <wp:posOffset>-569595</wp:posOffset>
          </wp:positionV>
          <wp:extent cx="704850" cy="704850"/>
          <wp:effectExtent l="0" t="0" r="0" b="0"/>
          <wp:wrapSquare wrapText="bothSides"/>
          <wp:docPr id="1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1c1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c0f92"/>
    <w:rPr>
      <w:rFonts w:cs="Times New Roman"/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8c0f92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locked/>
    <w:rsid w:val="008c0f92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8c0f92"/>
    <w:rPr>
      <w:rFonts w:cs="Times New Roma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8c0f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rsid w:val="008c0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rsid w:val="008c0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f77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D37B-80CF-404A-9506-AE6A727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LibreOffice/7.0.6.2$Windows_X86_64 LibreOffice_project/144abb84a525d8e30c9dbbefa69cbbf2d8d4ae3b</Application>
  <AppVersion>15.0000</AppVersion>
  <Pages>1</Pages>
  <Words>297</Words>
  <Characters>1667</Characters>
  <CharactersWithSpaces>1944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2023-01-18T11:11:00Z</dcterms:created>
  <dc:creator>Profe</dc:creator>
  <dc:description/>
  <dc:language>ca-ES</dc:language>
  <cp:lastModifiedBy/>
  <cp:lastPrinted>2013-03-18T13:04:00Z</cp:lastPrinted>
  <dcterms:modified xsi:type="dcterms:W3CDTF">2024-01-24T15:26:43Z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