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2E2" w14:textId="77777777" w:rsidR="000E11DF" w:rsidRPr="000E11DF" w:rsidRDefault="000E11DF" w:rsidP="000E11DF">
      <w:pPr>
        <w:spacing w:after="450" w:line="288" w:lineRule="atLeast"/>
        <w:ind w:left="0"/>
        <w:jc w:val="left"/>
        <w:outlineLvl w:val="1"/>
        <w:rPr>
          <w:rFonts w:eastAsia="Times New Roman"/>
          <w:b/>
          <w:bCs/>
          <w:color w:val="222222"/>
          <w:sz w:val="24"/>
          <w:szCs w:val="24"/>
          <w:lang w:val="es-ES" w:eastAsia="es-ES"/>
        </w:rPr>
      </w:pPr>
      <w:r w:rsidRPr="000E11DF">
        <w:rPr>
          <w:rFonts w:eastAsia="Times New Roman"/>
          <w:b/>
          <w:bCs/>
          <w:color w:val="222222"/>
          <w:sz w:val="24"/>
          <w:szCs w:val="24"/>
          <w:lang w:val="es-ES" w:eastAsia="es-ES"/>
        </w:rPr>
        <w:t>Cuadro de delitos de agresiones sexuales y penas aplicables de mayor a menor gravedad</w:t>
      </w:r>
    </w:p>
    <w:p w14:paraId="75C2FC51" w14:textId="77777777" w:rsidR="000E11DF" w:rsidRPr="000E11DF" w:rsidRDefault="000E11DF" w:rsidP="000E11DF">
      <w:pPr>
        <w:spacing w:line="432" w:lineRule="atLeast"/>
        <w:ind w:left="0"/>
        <w:jc w:val="left"/>
        <w:rPr>
          <w:rFonts w:eastAsia="Times New Roman"/>
          <w:color w:val="525252"/>
          <w:sz w:val="20"/>
          <w:szCs w:val="20"/>
          <w:lang w:val="es-ES" w:eastAsia="es-ES"/>
        </w:rPr>
      </w:pPr>
      <w:r w:rsidRPr="000E11DF">
        <w:rPr>
          <w:rFonts w:eastAsia="Times New Roman"/>
          <w:color w:val="525252"/>
          <w:sz w:val="20"/>
          <w:szCs w:val="20"/>
          <w:lang w:val="es-ES" w:eastAsia="es-ES"/>
        </w:rPr>
        <w:t>Vicente Magro Servet</w:t>
      </w:r>
    </w:p>
    <w:p w14:paraId="5456B5EC" w14:textId="77777777" w:rsidR="000E11DF" w:rsidRPr="000E11DF" w:rsidRDefault="000E11DF" w:rsidP="000E11DF">
      <w:pPr>
        <w:spacing w:line="432" w:lineRule="atLeast"/>
        <w:ind w:left="0"/>
        <w:jc w:val="left"/>
        <w:rPr>
          <w:rFonts w:eastAsia="Times New Roman"/>
          <w:color w:val="333333"/>
          <w:sz w:val="20"/>
          <w:szCs w:val="20"/>
          <w:lang w:val="es-ES" w:eastAsia="es-ES"/>
        </w:rPr>
      </w:pPr>
      <w:r w:rsidRPr="000E11DF">
        <w:rPr>
          <w:rFonts w:eastAsia="Times New Roman"/>
          <w:color w:val="333333"/>
          <w:sz w:val="20"/>
          <w:szCs w:val="20"/>
          <w:lang w:val="es-ES" w:eastAsia="es-ES"/>
        </w:rPr>
        <w:t>Magistrado de la Sala de lo penal del Tribunal Supremo. Doctor en derecho</w:t>
      </w:r>
    </w:p>
    <w:p w14:paraId="1D8DFA60" w14:textId="77777777" w:rsidR="000E11DF" w:rsidRPr="000E11DF" w:rsidRDefault="000E11DF" w:rsidP="000E11DF">
      <w:pPr>
        <w:spacing w:before="150" w:after="600" w:line="432" w:lineRule="atLeast"/>
        <w:ind w:left="0"/>
        <w:jc w:val="left"/>
        <w:rPr>
          <w:rFonts w:eastAsia="Times New Roman"/>
          <w:color w:val="868686"/>
          <w:sz w:val="20"/>
          <w:szCs w:val="20"/>
          <w:lang w:val="es-ES" w:eastAsia="es-ES"/>
        </w:rPr>
      </w:pPr>
      <w:r w:rsidRPr="000E11DF">
        <w:rPr>
          <w:rFonts w:eastAsia="Times New Roman"/>
          <w:b/>
          <w:bCs/>
          <w:color w:val="868686"/>
          <w:sz w:val="20"/>
          <w:szCs w:val="20"/>
          <w:lang w:val="es-ES" w:eastAsia="es-ES"/>
        </w:rPr>
        <w:t>Diario LA LEY</w:t>
      </w:r>
      <w:r w:rsidRPr="000E11DF">
        <w:rPr>
          <w:rFonts w:eastAsia="Times New Roman"/>
          <w:color w:val="868686"/>
          <w:sz w:val="20"/>
          <w:szCs w:val="20"/>
          <w:lang w:val="es-ES" w:eastAsia="es-ES"/>
        </w:rPr>
        <w:t xml:space="preserve">, </w:t>
      </w:r>
      <w:proofErr w:type="spellStart"/>
      <w:r w:rsidRPr="000E11DF">
        <w:rPr>
          <w:rFonts w:eastAsia="Times New Roman"/>
          <w:color w:val="868686"/>
          <w:sz w:val="20"/>
          <w:szCs w:val="20"/>
          <w:lang w:val="es-ES" w:eastAsia="es-ES"/>
        </w:rPr>
        <w:t>Nº</w:t>
      </w:r>
      <w:proofErr w:type="spellEnd"/>
      <w:r w:rsidRPr="000E11DF">
        <w:rPr>
          <w:rFonts w:eastAsia="Times New Roman"/>
          <w:color w:val="868686"/>
          <w:sz w:val="20"/>
          <w:szCs w:val="20"/>
          <w:lang w:val="es-ES" w:eastAsia="es-ES"/>
        </w:rPr>
        <w:t xml:space="preserve"> 10364, Sección Doctrina, 9 de </w:t>
      </w:r>
      <w:proofErr w:type="gramStart"/>
      <w:r w:rsidRPr="000E11DF">
        <w:rPr>
          <w:rFonts w:eastAsia="Times New Roman"/>
          <w:color w:val="868686"/>
          <w:sz w:val="20"/>
          <w:szCs w:val="20"/>
          <w:lang w:val="es-ES" w:eastAsia="es-ES"/>
        </w:rPr>
        <w:t>Octubre</w:t>
      </w:r>
      <w:proofErr w:type="gramEnd"/>
      <w:r w:rsidRPr="000E11DF">
        <w:rPr>
          <w:rFonts w:eastAsia="Times New Roman"/>
          <w:color w:val="868686"/>
          <w:sz w:val="20"/>
          <w:szCs w:val="20"/>
          <w:lang w:val="es-ES" w:eastAsia="es-ES"/>
        </w:rPr>
        <w:t xml:space="preserve"> de 2023, </w:t>
      </w:r>
      <w:r w:rsidRPr="000E11DF">
        <w:rPr>
          <w:rFonts w:eastAsia="Times New Roman"/>
          <w:b/>
          <w:bCs/>
          <w:color w:val="868686"/>
          <w:sz w:val="20"/>
          <w:szCs w:val="20"/>
          <w:lang w:val="es-ES" w:eastAsia="es-ES"/>
        </w:rPr>
        <w:t>LA LEY</w:t>
      </w:r>
    </w:p>
    <w:p w14:paraId="06182CAC" w14:textId="77777777" w:rsidR="000E11DF" w:rsidRPr="000E11DF" w:rsidRDefault="000E11DF" w:rsidP="000E11DF">
      <w:pPr>
        <w:spacing w:line="432" w:lineRule="atLeast"/>
        <w:ind w:left="-142"/>
        <w:jc w:val="left"/>
        <w:rPr>
          <w:rFonts w:eastAsia="Times New Roman"/>
          <w:color w:val="474747"/>
          <w:sz w:val="20"/>
          <w:szCs w:val="20"/>
          <w:lang w:val="es-ES" w:eastAsia="es-ES"/>
        </w:rPr>
      </w:pPr>
      <w:hyperlink r:id="rId4" w:history="1">
        <w:r w:rsidRPr="000E11DF">
          <w:rPr>
            <w:rFonts w:eastAsia="Times New Roman"/>
            <w:color w:val="5E5E5E"/>
            <w:sz w:val="20"/>
            <w:szCs w:val="20"/>
            <w:u w:val="single"/>
            <w:shd w:val="clear" w:color="auto" w:fill="FFD700"/>
            <w:lang w:val="es-ES" w:eastAsia="es-ES"/>
          </w:rPr>
          <w:t>PENAL</w:t>
        </w:r>
      </w:hyperlink>
    </w:p>
    <w:p w14:paraId="68767369" w14:textId="77777777" w:rsidR="000E11DF" w:rsidRPr="000E11DF" w:rsidRDefault="000E11DF" w:rsidP="000E11DF">
      <w:pPr>
        <w:shd w:val="clear" w:color="auto" w:fill="FFFFFF"/>
        <w:spacing w:before="270" w:after="270"/>
        <w:ind w:left="840" w:right="216"/>
        <w:rPr>
          <w:rFonts w:eastAsia="Times New Roman"/>
          <w:b/>
          <w:bCs/>
          <w:color w:val="2CA5C8"/>
          <w:sz w:val="20"/>
          <w:szCs w:val="20"/>
          <w:lang w:val="es-ES" w:eastAsia="es-ES"/>
        </w:rPr>
      </w:pPr>
      <w:r w:rsidRPr="000E11DF">
        <w:rPr>
          <w:rFonts w:eastAsia="Times New Roman"/>
          <w:b/>
          <w:bCs/>
          <w:color w:val="2CA5C8"/>
          <w:sz w:val="20"/>
          <w:szCs w:val="20"/>
          <w:lang w:val="es-ES" w:eastAsia="es-ES"/>
        </w:rPr>
        <w:t>Resumen</w:t>
      </w:r>
    </w:p>
    <w:p w14:paraId="23367470" w14:textId="77777777" w:rsidR="000E11DF" w:rsidRPr="000E11DF" w:rsidRDefault="000E11DF" w:rsidP="000E11DF">
      <w:pPr>
        <w:spacing w:line="384" w:lineRule="atLeast"/>
        <w:ind w:left="720" w:right="120"/>
        <w:rPr>
          <w:rFonts w:eastAsia="Times New Roman"/>
          <w:color w:val="2CA5C8"/>
          <w:sz w:val="20"/>
          <w:szCs w:val="20"/>
          <w:lang w:val="es-ES" w:eastAsia="es-ES"/>
        </w:rPr>
      </w:pPr>
      <w:r w:rsidRPr="000E11DF">
        <w:rPr>
          <w:rFonts w:eastAsia="Times New Roman"/>
          <w:color w:val="2CA5C8"/>
          <w:sz w:val="20"/>
          <w:szCs w:val="20"/>
          <w:lang w:val="es-ES" w:eastAsia="es-ES"/>
        </w:rPr>
        <w:t>Se elabora un cuadro práctico acerca de los delitos de agresiones sexuales tras la </w:t>
      </w:r>
      <w:hyperlink r:id="rId5" w:tooltip="enlace" w:history="1">
        <w:r w:rsidRPr="000E11DF">
          <w:rPr>
            <w:rFonts w:eastAsia="Times New Roman"/>
            <w:color w:val="0077AA"/>
            <w:sz w:val="20"/>
            <w:szCs w:val="20"/>
            <w:u w:val="single"/>
            <w:lang w:val="es-ES" w:eastAsia="es-ES"/>
          </w:rPr>
          <w:t>Ley Orgánica 4/2023</w:t>
        </w:r>
      </w:hyperlink>
      <w:r w:rsidRPr="000E11DF">
        <w:rPr>
          <w:rFonts w:eastAsia="Times New Roman"/>
          <w:color w:val="2CA5C8"/>
          <w:sz w:val="20"/>
          <w:szCs w:val="20"/>
          <w:lang w:val="es-ES" w:eastAsia="es-ES"/>
        </w:rPr>
        <w:t> y las penas que se corresponden en cada caso para clarificar las diferentes modalidades delictivas que quedan vigentes en la actualidad y las penas que se corresponden en cada caso, tanto en casos de agresiones sexuales a mayores de 16 años como a menores de 16 años de edad</w:t>
      </w:r>
    </w:p>
    <w:p w14:paraId="7B1DB8BD" w14:textId="137206FC" w:rsidR="000E11DF" w:rsidRPr="000E11DF" w:rsidRDefault="000E11DF" w:rsidP="000E11DF">
      <w:pPr>
        <w:spacing w:line="336" w:lineRule="atLeast"/>
        <w:ind w:left="0"/>
        <w:rPr>
          <w:rFonts w:eastAsia="Times New Roman"/>
          <w:color w:val="474747"/>
          <w:sz w:val="20"/>
          <w:szCs w:val="20"/>
          <w:lang w:val="es-ES" w:eastAsia="es-ES"/>
        </w:rPr>
      </w:pPr>
      <w:r w:rsidRPr="000E11DF">
        <w:rPr>
          <w:rFonts w:eastAsia="Times New Roman"/>
          <w:noProof/>
          <w:color w:val="474747"/>
          <w:sz w:val="20"/>
          <w:szCs w:val="20"/>
          <w:lang w:val="es-ES" w:eastAsia="es-ES"/>
        </w:rPr>
        <w:drawing>
          <wp:inline distT="0" distB="0" distL="0" distR="0" wp14:anchorId="1AF4D645" wp14:editId="1941FC20">
            <wp:extent cx="3333750" cy="2238375"/>
            <wp:effectExtent l="0" t="0" r="0" b="9525"/>
            <wp:docPr id="247605115" name="Imagen 1"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02082269" descr="Port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inline>
        </w:drawing>
      </w:r>
    </w:p>
    <w:p w14:paraId="3E451283" w14:textId="77777777" w:rsidR="000E11DF" w:rsidRPr="000E11DF" w:rsidRDefault="000E11DF" w:rsidP="000E11DF">
      <w:pPr>
        <w:spacing w:before="450" w:line="384" w:lineRule="atLeast"/>
        <w:ind w:left="0"/>
        <w:rPr>
          <w:rFonts w:eastAsia="Times New Roman"/>
          <w:b/>
          <w:bCs/>
          <w:color w:val="525252"/>
          <w:sz w:val="20"/>
          <w:szCs w:val="20"/>
          <w:lang w:val="es-ES" w:eastAsia="es-ES"/>
        </w:rPr>
      </w:pPr>
      <w:r w:rsidRPr="000E11DF">
        <w:rPr>
          <w:rFonts w:eastAsia="Times New Roman"/>
          <w:b/>
          <w:bCs/>
          <w:color w:val="525252"/>
          <w:sz w:val="20"/>
          <w:szCs w:val="20"/>
          <w:lang w:val="es-ES" w:eastAsia="es-ES"/>
        </w:rPr>
        <w:t>I. Agresiones sexuales a mayores de 16 años (De mayor a menor gravedad)</w:t>
      </w:r>
    </w:p>
    <w:p w14:paraId="7AE3FC22" w14:textId="77777777" w:rsidR="000E11DF" w:rsidRPr="000E11DF" w:rsidRDefault="000E11DF" w:rsidP="000E11DF">
      <w:pPr>
        <w:spacing w:before="150" w:line="384" w:lineRule="atLeast"/>
        <w:ind w:left="0"/>
        <w:rPr>
          <w:rFonts w:eastAsia="Times New Roman"/>
          <w:color w:val="333333"/>
          <w:sz w:val="20"/>
          <w:szCs w:val="20"/>
          <w:lang w:val="es-ES" w:eastAsia="es-ES"/>
        </w:rPr>
      </w:pPr>
      <w:r w:rsidRPr="000E11DF">
        <w:rPr>
          <w:rFonts w:eastAsia="Times New Roman"/>
          <w:color w:val="333333"/>
          <w:sz w:val="20"/>
          <w:szCs w:val="20"/>
          <w:lang w:val="es-ES" w:eastAsia="es-ES"/>
        </w:rPr>
        <w:t>Exponemos en el siguiente cuadro la referencia a los delitos de agresión sexual en el Código Penal expuestos de mayor a menor gravedad y la referencia a la horquilla de pena aplicable.</w:t>
      </w:r>
    </w:p>
    <w:p w14:paraId="174CAEAC" w14:textId="77777777" w:rsidR="000E11DF" w:rsidRPr="000E11DF" w:rsidRDefault="000E11DF" w:rsidP="000E11DF">
      <w:pPr>
        <w:spacing w:before="150" w:line="384" w:lineRule="atLeast"/>
        <w:ind w:left="0"/>
        <w:rPr>
          <w:rFonts w:eastAsia="Times New Roman"/>
          <w:color w:val="333333"/>
          <w:sz w:val="20"/>
          <w:szCs w:val="20"/>
          <w:lang w:val="es-ES" w:eastAsia="es-ES"/>
        </w:rPr>
      </w:pPr>
      <w:r w:rsidRPr="000E11DF">
        <w:rPr>
          <w:rFonts w:eastAsia="Times New Roman"/>
          <w:color w:val="333333"/>
          <w:sz w:val="20"/>
          <w:szCs w:val="20"/>
          <w:lang w:val="es-ES" w:eastAsia="es-ES"/>
        </w:rPr>
        <w:t>Se hacen constar las circunstancias delictivas de cada hecho delictivo por su gravedad, con el precepto aplicable y el arco de pena del que fijar la pena con arreglo a las reglas del </w:t>
      </w:r>
      <w:hyperlink r:id="rId7" w:anchor="I2067')" w:tooltip="enlace" w:history="1">
        <w:r w:rsidRPr="000E11DF">
          <w:rPr>
            <w:rFonts w:eastAsia="Times New Roman"/>
            <w:color w:val="0077AA"/>
            <w:sz w:val="20"/>
            <w:szCs w:val="20"/>
            <w:u w:val="single"/>
            <w:lang w:val="es-ES" w:eastAsia="es-ES"/>
          </w:rPr>
          <w:t>art. 66 CP. (LA LEY 3996/1995)</w:t>
        </w:r>
      </w:hyperlink>
    </w:p>
    <w:p w14:paraId="00B45FDC" w14:textId="77777777" w:rsidR="000E11DF" w:rsidRPr="000E11DF" w:rsidRDefault="000E11DF" w:rsidP="000E11DF">
      <w:pPr>
        <w:spacing w:before="150" w:line="384" w:lineRule="atLeast"/>
        <w:ind w:left="0"/>
        <w:rPr>
          <w:rFonts w:eastAsia="Times New Roman"/>
          <w:color w:val="333333"/>
          <w:sz w:val="20"/>
          <w:szCs w:val="20"/>
          <w:lang w:val="es-ES" w:eastAsia="es-ES"/>
        </w:rPr>
      </w:pPr>
    </w:p>
    <w:p w14:paraId="57AC3532" w14:textId="77777777" w:rsidR="000E11DF" w:rsidRPr="000E11DF" w:rsidRDefault="000E11DF" w:rsidP="000E11DF">
      <w:pPr>
        <w:spacing w:before="150" w:line="384" w:lineRule="atLeast"/>
        <w:ind w:left="0"/>
        <w:rPr>
          <w:rFonts w:eastAsia="Times New Roman"/>
          <w:color w:val="333333"/>
          <w:sz w:val="20"/>
          <w:szCs w:val="20"/>
          <w:lang w:val="es-ES" w:eastAsia="es-ES"/>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87"/>
        <w:gridCol w:w="2024"/>
        <w:gridCol w:w="3946"/>
      </w:tblGrid>
      <w:tr w:rsidR="000E11DF" w:rsidRPr="000E11DF" w14:paraId="2A4BBB97" w14:textId="77777777" w:rsidTr="000E11DF">
        <w:trPr>
          <w:tblHeader/>
        </w:trPr>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73D5BBF2"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lastRenderedPageBreak/>
              <w:t>Tipo delictivo</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9982D58"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Precepto</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0E1081AE"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Pena aplicable</w:t>
            </w:r>
          </w:p>
        </w:tc>
      </w:tr>
      <w:tr w:rsidR="000E11DF" w:rsidRPr="000E11DF" w14:paraId="275D2019"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6685F5B"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Agresión sexual con acceso carnal con violencia, intimidación o mujer que tenga anulada su voluntad por cualquier causa con subtipo agravado</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5D1EF52E"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w:t>
            </w:r>
            <w:hyperlink r:id="rId8" w:anchor="I6333')" w:tooltip="enlace" w:history="1">
              <w:r w:rsidRPr="000E11DF">
                <w:rPr>
                  <w:rFonts w:eastAsia="Times New Roman"/>
                  <w:color w:val="0077AA"/>
                  <w:sz w:val="20"/>
                  <w:szCs w:val="20"/>
                  <w:u w:val="single"/>
                  <w:lang w:val="es-ES" w:eastAsia="es-ES"/>
                </w:rPr>
                <w:t>Art 179.2 (LA LEY 3996/1995)</w:t>
              </w:r>
            </w:hyperlink>
            <w:r w:rsidRPr="000E11DF">
              <w:rPr>
                <w:rFonts w:eastAsia="Times New Roman"/>
                <w:sz w:val="20"/>
                <w:szCs w:val="20"/>
                <w:lang w:val="es-ES" w:eastAsia="es-ES"/>
              </w:rPr>
              <w:t> y </w:t>
            </w:r>
            <w:hyperlink r:id="rId9" w:anchor="I6111')" w:tooltip="enlace" w:history="1">
              <w:r w:rsidRPr="000E11DF">
                <w:rPr>
                  <w:rFonts w:eastAsia="Times New Roman"/>
                  <w:color w:val="0077AA"/>
                  <w:sz w:val="20"/>
                  <w:szCs w:val="20"/>
                  <w:u w:val="single"/>
                  <w:lang w:val="es-ES" w:eastAsia="es-ES"/>
                </w:rPr>
                <w:t>180.1 CP (LA LEY 3996/1995)</w:t>
              </w:r>
            </w:hyperlink>
            <w:r w:rsidRPr="000E11DF">
              <w:rPr>
                <w:rFonts w:eastAsia="Times New Roman"/>
                <w:sz w:val="20"/>
                <w:szCs w:val="20"/>
                <w:lang w:val="es-ES" w:eastAsia="es-ES"/>
              </w:rPr>
              <w:t>).</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07B0DEB9"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De 12 a 15 años de prisión</w:t>
            </w:r>
          </w:p>
        </w:tc>
      </w:tr>
      <w:tr w:rsidR="000E11DF" w:rsidRPr="000E11DF" w14:paraId="6DAB8FB1"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AA51E19"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Agresión sexual con acceso carnal con abuso de situación de superioridad o vulnerabilidad de la víctima con subtipo agravado</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B8075B4"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w:t>
            </w:r>
            <w:hyperlink r:id="rId10" w:anchor="I6333')" w:tooltip="enlace" w:history="1">
              <w:r w:rsidRPr="000E11DF">
                <w:rPr>
                  <w:rFonts w:eastAsia="Times New Roman"/>
                  <w:color w:val="0077AA"/>
                  <w:sz w:val="20"/>
                  <w:szCs w:val="20"/>
                  <w:u w:val="single"/>
                  <w:lang w:val="es-ES" w:eastAsia="es-ES"/>
                </w:rPr>
                <w:t>Art 179.1 (LA LEY 3996/1995)</w:t>
              </w:r>
            </w:hyperlink>
            <w:r w:rsidRPr="000E11DF">
              <w:rPr>
                <w:rFonts w:eastAsia="Times New Roman"/>
                <w:sz w:val="20"/>
                <w:szCs w:val="20"/>
                <w:lang w:val="es-ES" w:eastAsia="es-ES"/>
              </w:rPr>
              <w:t> y </w:t>
            </w:r>
            <w:hyperlink r:id="rId11" w:anchor="I6111')" w:tooltip="enlace" w:history="1">
              <w:r w:rsidRPr="000E11DF">
                <w:rPr>
                  <w:rFonts w:eastAsia="Times New Roman"/>
                  <w:color w:val="0077AA"/>
                  <w:sz w:val="20"/>
                  <w:szCs w:val="20"/>
                  <w:u w:val="single"/>
                  <w:lang w:val="es-ES" w:eastAsia="es-ES"/>
                </w:rPr>
                <w:t>180.1 CP (LA LEY 3996/1995)</w:t>
              </w:r>
            </w:hyperlink>
            <w:r w:rsidRPr="000E11DF">
              <w:rPr>
                <w:rFonts w:eastAsia="Times New Roman"/>
                <w:sz w:val="20"/>
                <w:szCs w:val="20"/>
                <w:lang w:val="es-ES" w:eastAsia="es-ES"/>
              </w:rPr>
              <w:t>)</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A306550"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De 7 a 15 años de prisión</w:t>
            </w:r>
          </w:p>
        </w:tc>
      </w:tr>
      <w:tr w:rsidR="000E11DF" w:rsidRPr="000E11DF" w14:paraId="53508572"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9B46D23"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Agresión sexual con acceso carnal con violencia, intimidación o mujer que tenga anulada su voluntad por cualquier causa</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49CBD106"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w:t>
            </w:r>
            <w:hyperlink r:id="rId12" w:anchor="I6333')" w:tooltip="enlace" w:history="1">
              <w:r w:rsidRPr="000E11DF">
                <w:rPr>
                  <w:rFonts w:eastAsia="Times New Roman"/>
                  <w:color w:val="0077AA"/>
                  <w:sz w:val="20"/>
                  <w:szCs w:val="20"/>
                  <w:u w:val="single"/>
                  <w:lang w:val="es-ES" w:eastAsia="es-ES"/>
                </w:rPr>
                <w:t>Art. 179.2 CP (LA LEY 3996/1995)</w:t>
              </w:r>
            </w:hyperlink>
            <w:r w:rsidRPr="000E11DF">
              <w:rPr>
                <w:rFonts w:eastAsia="Times New Roman"/>
                <w:sz w:val="20"/>
                <w:szCs w:val="20"/>
                <w:lang w:val="es-ES" w:eastAsia="es-ES"/>
              </w:rPr>
              <w:t>)</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2B1EAFF1"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De 6 a 12 años de prisión</w:t>
            </w:r>
          </w:p>
        </w:tc>
      </w:tr>
      <w:tr w:rsidR="000E11DF" w:rsidRPr="000E11DF" w14:paraId="35CC0023"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531C3889"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Agresión sexual con acceso carnal con abuso de situación de superioridad o vulnerabilidad de la víctima</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7CB1BC9A"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w:t>
            </w:r>
            <w:hyperlink r:id="rId13" w:anchor="I6333')" w:tooltip="enlace" w:history="1">
              <w:r w:rsidRPr="000E11DF">
                <w:rPr>
                  <w:rFonts w:eastAsia="Times New Roman"/>
                  <w:color w:val="0077AA"/>
                  <w:sz w:val="20"/>
                  <w:szCs w:val="20"/>
                  <w:u w:val="single"/>
                  <w:lang w:val="es-ES" w:eastAsia="es-ES"/>
                </w:rPr>
                <w:t>Art. 179.1 CP (LA LEY 3996/1995)</w:t>
              </w:r>
            </w:hyperlink>
            <w:r w:rsidRPr="000E11DF">
              <w:rPr>
                <w:rFonts w:eastAsia="Times New Roman"/>
                <w:sz w:val="20"/>
                <w:szCs w:val="20"/>
                <w:lang w:val="es-ES" w:eastAsia="es-ES"/>
              </w:rPr>
              <w:t>)</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499D622C"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De 4 a 12 años de prisión</w:t>
            </w:r>
          </w:p>
        </w:tc>
      </w:tr>
      <w:tr w:rsidR="000E11DF" w:rsidRPr="000E11DF" w14:paraId="468B7D57"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E2E037F"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Agresión sexual sin acceso carnal con violencia, intimidación o mujer con voluntad anulada por cualquier causa con subtipo agravado</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76491598"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(Art. 180.1 y 178.3)</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CCE6F2A"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De 5 a 10 años de prisión.</w:t>
            </w:r>
          </w:p>
        </w:tc>
      </w:tr>
      <w:tr w:rsidR="000E11DF" w:rsidRPr="000E11DF" w14:paraId="106A9E38"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70545FC6"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Agresión sexual sin acceso carnal </w:t>
            </w:r>
            <w:r w:rsidRPr="000E11DF">
              <w:rPr>
                <w:rFonts w:eastAsia="Times New Roman"/>
                <w:b/>
                <w:bCs/>
                <w:sz w:val="20"/>
                <w:szCs w:val="20"/>
                <w:lang w:val="es-ES" w:eastAsia="es-ES"/>
              </w:rPr>
              <w:t>con o sin</w:t>
            </w:r>
            <w:hyperlink r:id="rId14" w:anchor="nDT0000374657_NOTAT1-1" w:history="1">
              <w:r w:rsidRPr="000E11DF">
                <w:rPr>
                  <w:rFonts w:eastAsia="Times New Roman"/>
                  <w:b/>
                  <w:bCs/>
                  <w:color w:val="0077AA"/>
                  <w:sz w:val="20"/>
                  <w:szCs w:val="20"/>
                  <w:u w:val="single"/>
                  <w:vertAlign w:val="superscript"/>
                  <w:lang w:val="es-ES" w:eastAsia="es-ES"/>
                </w:rPr>
                <w:t> (1) </w:t>
              </w:r>
            </w:hyperlink>
            <w:r w:rsidRPr="000E11DF">
              <w:rPr>
                <w:rFonts w:eastAsia="Times New Roman"/>
                <w:sz w:val="20"/>
                <w:szCs w:val="20"/>
                <w:lang w:val="es-ES" w:eastAsia="es-ES"/>
              </w:rPr>
              <w:t>abuso de superioridad o vulnerabilidad de la víctima con subtipo agravado</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FEB21B8"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w:t>
            </w:r>
            <w:hyperlink r:id="rId15" w:anchor="I6111')" w:tooltip="enlace" w:history="1">
              <w:r w:rsidRPr="000E11DF">
                <w:rPr>
                  <w:rFonts w:eastAsia="Times New Roman"/>
                  <w:color w:val="0077AA"/>
                  <w:sz w:val="20"/>
                  <w:szCs w:val="20"/>
                  <w:u w:val="single"/>
                  <w:lang w:val="es-ES" w:eastAsia="es-ES"/>
                </w:rPr>
                <w:t>Art 180.1 (LA LEY 3996/1995)</w:t>
              </w:r>
            </w:hyperlink>
            <w:r w:rsidRPr="000E11DF">
              <w:rPr>
                <w:rFonts w:eastAsia="Times New Roman"/>
                <w:sz w:val="20"/>
                <w:szCs w:val="20"/>
                <w:lang w:val="es-ES" w:eastAsia="es-ES"/>
              </w:rPr>
              <w:t> y 178.1 CP)</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2A79742D"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De 2 a 8 años de prisión)</w:t>
            </w:r>
          </w:p>
        </w:tc>
      </w:tr>
      <w:tr w:rsidR="000E11DF" w:rsidRPr="000E11DF" w14:paraId="3BDEBE4A"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54482D6"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Agresión sexual sin acceso carnal con violencia, intimidación o mujer que tenga anulada su voluntad por cualquier causa</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105C4A4D"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w:t>
            </w:r>
            <w:hyperlink r:id="rId16" w:anchor="I6106')" w:tooltip="enlace" w:history="1">
              <w:r w:rsidRPr="000E11DF">
                <w:rPr>
                  <w:rFonts w:eastAsia="Times New Roman"/>
                  <w:color w:val="0077AA"/>
                  <w:sz w:val="20"/>
                  <w:szCs w:val="20"/>
                  <w:u w:val="single"/>
                  <w:lang w:val="es-ES" w:eastAsia="es-ES"/>
                </w:rPr>
                <w:t>Art. 178.3 CP (LA LEY 3996/1995)</w:t>
              </w:r>
            </w:hyperlink>
            <w:r w:rsidRPr="000E11DF">
              <w:rPr>
                <w:rFonts w:eastAsia="Times New Roman"/>
                <w:sz w:val="20"/>
                <w:szCs w:val="20"/>
                <w:lang w:val="es-ES" w:eastAsia="es-ES"/>
              </w:rPr>
              <w:t>)</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F9B176E"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De 1 a 5 años de prisión</w:t>
            </w:r>
          </w:p>
        </w:tc>
      </w:tr>
      <w:tr w:rsidR="000E11DF" w:rsidRPr="000E11DF" w14:paraId="7B7F6F59"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B36E2DD"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Agresión sexual sin acceso carnal simple</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3AA2B27"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w:t>
            </w:r>
            <w:hyperlink r:id="rId17" w:anchor="I6106')" w:tooltip="enlace" w:history="1">
              <w:r w:rsidRPr="000E11DF">
                <w:rPr>
                  <w:rFonts w:eastAsia="Times New Roman"/>
                  <w:color w:val="0077AA"/>
                  <w:sz w:val="20"/>
                  <w:szCs w:val="20"/>
                  <w:u w:val="single"/>
                  <w:lang w:val="es-ES" w:eastAsia="es-ES"/>
                </w:rPr>
                <w:t>Art. 178.1 CP (LA LEY 3996/1995)</w:t>
              </w:r>
            </w:hyperlink>
            <w:r w:rsidRPr="000E11DF">
              <w:rPr>
                <w:rFonts w:eastAsia="Times New Roman"/>
                <w:sz w:val="20"/>
                <w:szCs w:val="20"/>
                <w:lang w:val="es-ES" w:eastAsia="es-ES"/>
              </w:rPr>
              <w:t>)</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22463C2E" w14:textId="77777777" w:rsidR="000E11DF" w:rsidRPr="000E11DF" w:rsidRDefault="000E11DF" w:rsidP="000E11DF">
            <w:pPr>
              <w:spacing w:before="120" w:after="120"/>
              <w:ind w:left="0"/>
              <w:rPr>
                <w:rFonts w:eastAsia="Times New Roman"/>
                <w:sz w:val="20"/>
                <w:szCs w:val="20"/>
                <w:lang w:val="es-ES" w:eastAsia="es-ES"/>
              </w:rPr>
            </w:pPr>
            <w:r w:rsidRPr="000E11DF">
              <w:rPr>
                <w:rFonts w:eastAsia="Times New Roman"/>
                <w:sz w:val="20"/>
                <w:szCs w:val="20"/>
                <w:lang w:val="es-ES" w:eastAsia="es-ES"/>
              </w:rPr>
              <w:t>De 1 a 4 años de prisión.</w:t>
            </w:r>
          </w:p>
        </w:tc>
      </w:tr>
      <w:tr w:rsidR="000E11DF" w:rsidRPr="000E11DF" w14:paraId="0BD41DCC"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2DFA3D7" w14:textId="77777777" w:rsidR="000E11DF" w:rsidRPr="000E11DF" w:rsidRDefault="000E11DF" w:rsidP="000E11DF">
            <w:pPr>
              <w:spacing w:before="120" w:after="120" w:line="384" w:lineRule="atLeast"/>
              <w:ind w:left="0"/>
              <w:rPr>
                <w:rFonts w:eastAsia="Times New Roman"/>
                <w:color w:val="333333"/>
                <w:sz w:val="20"/>
                <w:szCs w:val="20"/>
                <w:lang w:val="es-ES" w:eastAsia="es-ES"/>
              </w:rPr>
            </w:pPr>
            <w:r w:rsidRPr="000E11DF">
              <w:rPr>
                <w:rFonts w:eastAsia="Times New Roman"/>
                <w:color w:val="333333"/>
                <w:sz w:val="20"/>
                <w:szCs w:val="20"/>
                <w:lang w:val="es-ES" w:eastAsia="es-ES"/>
              </w:rPr>
              <w:t>Subtipo atenuado: Agresión sexual sin acceso carnal y sin violencia, intimidación o mujer que tenga anulada su voluntad por cualquier causa y sin subtipo agravado (sería posible también que concurriera abuso de superioridad o vulnerabilidad de la víctima)</w:t>
            </w:r>
          </w:p>
          <w:p w14:paraId="389D4859" w14:textId="77777777" w:rsidR="000E11DF" w:rsidRPr="000E11DF" w:rsidRDefault="000E11DF" w:rsidP="000E11DF">
            <w:pPr>
              <w:spacing w:before="120" w:after="120" w:line="384" w:lineRule="atLeast"/>
              <w:ind w:left="0"/>
              <w:rPr>
                <w:rFonts w:eastAsia="Times New Roman"/>
                <w:color w:val="333333"/>
                <w:sz w:val="20"/>
                <w:szCs w:val="20"/>
                <w:lang w:val="es-ES" w:eastAsia="es-ES"/>
              </w:rPr>
            </w:pPr>
            <w:r w:rsidRPr="000E11DF">
              <w:rPr>
                <w:rFonts w:eastAsia="Times New Roman"/>
                <w:color w:val="333333"/>
                <w:sz w:val="20"/>
                <w:szCs w:val="20"/>
                <w:lang w:val="es-ES" w:eastAsia="es-ES"/>
              </w:rPr>
              <w:lastRenderedPageBreak/>
              <w:t>Deben tenerse en cuenta </w:t>
            </w:r>
            <w:r w:rsidRPr="000E11DF">
              <w:rPr>
                <w:rFonts w:eastAsia="Times New Roman"/>
                <w:b/>
                <w:bCs/>
                <w:color w:val="333333"/>
                <w:sz w:val="20"/>
                <w:szCs w:val="20"/>
                <w:lang w:val="es-ES" w:eastAsia="es-ES"/>
              </w:rPr>
              <w:t>dos circunstancias:</w:t>
            </w:r>
          </w:p>
          <w:p w14:paraId="04ED3EA0" w14:textId="77777777" w:rsidR="000E11DF" w:rsidRPr="000E11DF" w:rsidRDefault="000E11DF" w:rsidP="000E11DF">
            <w:pPr>
              <w:spacing w:before="120" w:after="120" w:line="384" w:lineRule="atLeast"/>
              <w:ind w:left="0"/>
              <w:rPr>
                <w:rFonts w:eastAsia="Times New Roman"/>
                <w:color w:val="333333"/>
                <w:sz w:val="20"/>
                <w:szCs w:val="20"/>
                <w:lang w:val="es-ES" w:eastAsia="es-ES"/>
              </w:rPr>
            </w:pPr>
            <w:r w:rsidRPr="000E11DF">
              <w:rPr>
                <w:rFonts w:eastAsia="Times New Roman"/>
                <w:b/>
                <w:bCs/>
                <w:color w:val="333333"/>
                <w:sz w:val="20"/>
                <w:szCs w:val="20"/>
                <w:lang w:val="es-ES" w:eastAsia="es-ES"/>
              </w:rPr>
              <w:t>1.-En atención a la menor entidad del hecho y</w:t>
            </w:r>
          </w:p>
          <w:p w14:paraId="1C882DC2" w14:textId="77777777" w:rsidR="000E11DF" w:rsidRPr="000E11DF" w:rsidRDefault="000E11DF" w:rsidP="000E11DF">
            <w:pPr>
              <w:spacing w:before="120" w:after="120" w:line="384" w:lineRule="atLeast"/>
              <w:ind w:left="0"/>
              <w:rPr>
                <w:rFonts w:eastAsia="Times New Roman"/>
                <w:color w:val="333333"/>
                <w:sz w:val="20"/>
                <w:szCs w:val="20"/>
                <w:lang w:val="es-ES" w:eastAsia="es-ES"/>
              </w:rPr>
            </w:pPr>
            <w:r w:rsidRPr="000E11DF">
              <w:rPr>
                <w:rFonts w:eastAsia="Times New Roman"/>
                <w:b/>
                <w:bCs/>
                <w:color w:val="333333"/>
                <w:sz w:val="20"/>
                <w:szCs w:val="20"/>
                <w:lang w:val="es-ES" w:eastAsia="es-ES"/>
              </w:rPr>
              <w:t>2.- A las circunstancias personales del culpable</w:t>
            </w:r>
            <w:hyperlink r:id="rId18" w:anchor="nDT0000374657_NOTAT1-2" w:history="1">
              <w:r w:rsidRPr="000E11DF">
                <w:rPr>
                  <w:rFonts w:eastAsia="Times New Roman"/>
                  <w:b/>
                  <w:bCs/>
                  <w:color w:val="0077AA"/>
                  <w:sz w:val="20"/>
                  <w:szCs w:val="20"/>
                  <w:u w:val="single"/>
                  <w:vertAlign w:val="superscript"/>
                  <w:lang w:val="es-ES" w:eastAsia="es-ES"/>
                </w:rPr>
                <w:t> (2)</w:t>
              </w:r>
            </w:hyperlink>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2F5036B5" w14:textId="77777777" w:rsidR="000E11DF" w:rsidRPr="000E11DF" w:rsidRDefault="000E11DF" w:rsidP="000E11DF">
            <w:pPr>
              <w:ind w:left="0"/>
              <w:rPr>
                <w:rFonts w:eastAsia="Times New Roman"/>
                <w:sz w:val="20"/>
                <w:szCs w:val="20"/>
                <w:lang w:val="es-ES" w:eastAsia="es-ES"/>
              </w:rPr>
            </w:pPr>
            <w:r w:rsidRPr="000E11DF">
              <w:rPr>
                <w:rFonts w:eastAsia="Times New Roman"/>
                <w:sz w:val="20"/>
                <w:szCs w:val="20"/>
                <w:lang w:val="es-ES" w:eastAsia="es-ES"/>
              </w:rPr>
              <w:lastRenderedPageBreak/>
              <w:t>(Art. 178.4)</w:t>
            </w:r>
          </w:p>
        </w:tc>
        <w:tc>
          <w:tcPr>
            <w:tcW w:w="396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34F7F51" w14:textId="77777777" w:rsidR="000E11DF" w:rsidRPr="000E11DF" w:rsidRDefault="000E11DF" w:rsidP="000E11DF">
            <w:pPr>
              <w:ind w:left="0"/>
              <w:rPr>
                <w:rFonts w:eastAsia="Times New Roman"/>
                <w:sz w:val="20"/>
                <w:szCs w:val="20"/>
                <w:lang w:val="es-ES" w:eastAsia="es-ES"/>
              </w:rPr>
            </w:pPr>
            <w:r w:rsidRPr="000E11DF">
              <w:rPr>
                <w:rFonts w:eastAsia="Times New Roman"/>
                <w:sz w:val="20"/>
                <w:szCs w:val="20"/>
                <w:lang w:val="es-ES" w:eastAsia="es-ES"/>
              </w:rPr>
              <w:t>(pena prisión en mitad inferior o multa de 18 a 24 meses).</w:t>
            </w:r>
          </w:p>
        </w:tc>
      </w:tr>
    </w:tbl>
    <w:p w14:paraId="6387C6A4" w14:textId="77777777" w:rsidR="000E11DF" w:rsidRPr="000E11DF" w:rsidRDefault="000E11DF" w:rsidP="000E11DF">
      <w:pPr>
        <w:spacing w:before="450" w:line="384" w:lineRule="atLeast"/>
        <w:ind w:left="0"/>
        <w:rPr>
          <w:rFonts w:eastAsia="Times New Roman"/>
          <w:b/>
          <w:bCs/>
          <w:color w:val="525252"/>
          <w:sz w:val="20"/>
          <w:szCs w:val="20"/>
          <w:lang w:val="es-ES" w:eastAsia="es-ES"/>
        </w:rPr>
      </w:pPr>
      <w:r w:rsidRPr="000E11DF">
        <w:rPr>
          <w:rFonts w:eastAsia="Times New Roman"/>
          <w:b/>
          <w:bCs/>
          <w:color w:val="525252"/>
          <w:sz w:val="24"/>
          <w:szCs w:val="24"/>
          <w:lang w:val="es-ES" w:eastAsia="es-ES"/>
        </w:rPr>
        <w:t>II. Agresión sexual a menores de 16 años (De mayor a menor gravedad</w:t>
      </w:r>
      <w:r w:rsidRPr="000E11DF">
        <w:rPr>
          <w:rFonts w:eastAsia="Times New Roman"/>
          <w:b/>
          <w:bCs/>
          <w:color w:val="525252"/>
          <w:sz w:val="20"/>
          <w:szCs w:val="20"/>
          <w:lang w:val="es-ES" w:eastAsia="es-ES"/>
        </w:rPr>
        <w:t>)</w:t>
      </w:r>
    </w:p>
    <w:tbl>
      <w:tblPr>
        <w:tblW w:w="1108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12"/>
        <w:gridCol w:w="1984"/>
        <w:gridCol w:w="4289"/>
      </w:tblGrid>
      <w:tr w:rsidR="000E11DF" w:rsidRPr="000E11DF" w14:paraId="757C03EA" w14:textId="77777777" w:rsidTr="000E11DF">
        <w:trPr>
          <w:tblHeader/>
        </w:trPr>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ADC6FDF"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Tipo delictivo</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25BCA63D"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Precepto</w:t>
            </w:r>
          </w:p>
        </w:tc>
        <w:tc>
          <w:tcPr>
            <w:tcW w:w="428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51423F1C"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Pena</w:t>
            </w:r>
          </w:p>
        </w:tc>
      </w:tr>
      <w:tr w:rsidR="000E11DF" w:rsidRPr="000E11DF" w14:paraId="391DC6FD"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1AF13AE"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Agresión sexual con acceso carnal con menor 16 años con violencia, intimidación, mujer con voluntad anulada, abuso de superioridad o vulnerabilidad de víctima.</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2492D4CD"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w:t>
            </w:r>
            <w:hyperlink r:id="rId19" w:anchor="I6344')" w:tooltip="enlace" w:history="1">
              <w:r w:rsidRPr="000E11DF">
                <w:rPr>
                  <w:rFonts w:eastAsia="Times New Roman"/>
                  <w:color w:val="0077AA"/>
                  <w:sz w:val="20"/>
                  <w:szCs w:val="20"/>
                  <w:u w:val="single"/>
                  <w:lang w:val="es-ES" w:eastAsia="es-ES"/>
                </w:rPr>
                <w:t>Art. 181.4 CP (LA LEY 3996/1995)</w:t>
              </w:r>
            </w:hyperlink>
            <w:r w:rsidRPr="000E11DF">
              <w:rPr>
                <w:rFonts w:eastAsia="Times New Roman"/>
                <w:sz w:val="20"/>
                <w:szCs w:val="20"/>
                <w:lang w:val="es-ES" w:eastAsia="es-ES"/>
              </w:rPr>
              <w:t>)</w:t>
            </w:r>
          </w:p>
        </w:tc>
        <w:tc>
          <w:tcPr>
            <w:tcW w:w="428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2FFA871A"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Pena de 12 a 15 años de prisión</w:t>
            </w:r>
          </w:p>
        </w:tc>
      </w:tr>
      <w:tr w:rsidR="000E11DF" w:rsidRPr="000E11DF" w14:paraId="6004CF0F"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4667A9E2"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Agresión sexual con acceso carnal con menor de 16 años sin circunstancias anteriores</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11ED1201"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w:t>
            </w:r>
            <w:hyperlink r:id="rId20" w:anchor="I6344')" w:tooltip="enlace" w:history="1">
              <w:r w:rsidRPr="000E11DF">
                <w:rPr>
                  <w:rFonts w:eastAsia="Times New Roman"/>
                  <w:color w:val="0077AA"/>
                  <w:sz w:val="20"/>
                  <w:szCs w:val="20"/>
                  <w:u w:val="single"/>
                  <w:lang w:val="es-ES" w:eastAsia="es-ES"/>
                </w:rPr>
                <w:t>Art. 181.4 CP (LA LEY 3996/1995)</w:t>
              </w:r>
            </w:hyperlink>
            <w:r w:rsidRPr="000E11DF">
              <w:rPr>
                <w:rFonts w:eastAsia="Times New Roman"/>
                <w:sz w:val="20"/>
                <w:szCs w:val="20"/>
                <w:lang w:val="es-ES" w:eastAsia="es-ES"/>
              </w:rPr>
              <w:t>)</w:t>
            </w:r>
          </w:p>
        </w:tc>
        <w:tc>
          <w:tcPr>
            <w:tcW w:w="428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4ED86E1B"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Pena de 8 a 12 años de prisión.</w:t>
            </w:r>
          </w:p>
        </w:tc>
      </w:tr>
      <w:tr w:rsidR="000E11DF" w:rsidRPr="000E11DF" w14:paraId="76DE153A"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38856B4"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Actos de carácter sexual con menor de 16 años sin acceso carnal con violencia, intimidación, mujer con voluntad anulada, abuso de superioridad o vulnerabilidad víctima</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10731295"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w:t>
            </w:r>
            <w:hyperlink r:id="rId21" w:anchor="I6344')" w:tooltip="enlace" w:history="1">
              <w:r w:rsidRPr="000E11DF">
                <w:rPr>
                  <w:rFonts w:eastAsia="Times New Roman"/>
                  <w:color w:val="0077AA"/>
                  <w:sz w:val="20"/>
                  <w:szCs w:val="20"/>
                  <w:u w:val="single"/>
                  <w:lang w:val="es-ES" w:eastAsia="es-ES"/>
                </w:rPr>
                <w:t>Art. 181.2 (LA LEY 3996/1995)</w:t>
              </w:r>
            </w:hyperlink>
            <w:r w:rsidRPr="000E11DF">
              <w:rPr>
                <w:rFonts w:eastAsia="Times New Roman"/>
                <w:sz w:val="20"/>
                <w:szCs w:val="20"/>
                <w:lang w:val="es-ES" w:eastAsia="es-ES"/>
              </w:rPr>
              <w:t> y 178.2 y 3 CP).</w:t>
            </w:r>
          </w:p>
        </w:tc>
        <w:tc>
          <w:tcPr>
            <w:tcW w:w="428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299C93C7"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Pena de 5 a 10 años de prisión</w:t>
            </w:r>
          </w:p>
        </w:tc>
      </w:tr>
      <w:tr w:rsidR="000E11DF" w:rsidRPr="000E11DF" w14:paraId="40B8FD92"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40E14D67"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Actos de carácter sexual con menor de 16 años sin circunstancias anteriores</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1E6341A9"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w:t>
            </w:r>
            <w:hyperlink r:id="rId22" w:anchor="I6344')" w:tooltip="enlace" w:history="1">
              <w:r w:rsidRPr="000E11DF">
                <w:rPr>
                  <w:rFonts w:eastAsia="Times New Roman"/>
                  <w:color w:val="0077AA"/>
                  <w:sz w:val="20"/>
                  <w:szCs w:val="20"/>
                  <w:u w:val="single"/>
                  <w:lang w:val="es-ES" w:eastAsia="es-ES"/>
                </w:rPr>
                <w:t>Art. 181.1 CP (LA LEY 3996/1995)</w:t>
              </w:r>
            </w:hyperlink>
            <w:r w:rsidRPr="000E11DF">
              <w:rPr>
                <w:rFonts w:eastAsia="Times New Roman"/>
                <w:sz w:val="20"/>
                <w:szCs w:val="20"/>
                <w:lang w:val="es-ES" w:eastAsia="es-ES"/>
              </w:rPr>
              <w:t>)</w:t>
            </w:r>
          </w:p>
        </w:tc>
        <w:tc>
          <w:tcPr>
            <w:tcW w:w="428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0DAB0AE"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De 2 a 6 años de prisión</w:t>
            </w:r>
          </w:p>
        </w:tc>
      </w:tr>
      <w:tr w:rsidR="000E11DF" w:rsidRPr="000E11DF" w14:paraId="74FE1F74"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13E49545"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 </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433F39A1"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w:t>
            </w:r>
            <w:hyperlink r:id="rId23" w:anchor="I6344')" w:tooltip="enlace" w:history="1">
              <w:r w:rsidRPr="000E11DF">
                <w:rPr>
                  <w:rFonts w:eastAsia="Times New Roman"/>
                  <w:color w:val="0077AA"/>
                  <w:sz w:val="20"/>
                  <w:szCs w:val="20"/>
                  <w:u w:val="single"/>
                  <w:lang w:val="es-ES" w:eastAsia="es-ES"/>
                </w:rPr>
                <w:t>Art. 181.5 CP (LA LEY 3996/1995)</w:t>
              </w:r>
            </w:hyperlink>
            <w:r w:rsidRPr="000E11DF">
              <w:rPr>
                <w:rFonts w:eastAsia="Times New Roman"/>
                <w:sz w:val="20"/>
                <w:szCs w:val="20"/>
                <w:lang w:val="es-ES" w:eastAsia="es-ES"/>
              </w:rPr>
              <w:t>)</w:t>
            </w:r>
          </w:p>
        </w:tc>
        <w:tc>
          <w:tcPr>
            <w:tcW w:w="428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6B92ACDA"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Pena en su mitad superior con subtipo agravado en cualquiera de los supuestos anteriores. (No cabe aplicar subtipo atenuado).</w:t>
            </w:r>
          </w:p>
        </w:tc>
      </w:tr>
      <w:tr w:rsidR="000E11DF" w:rsidRPr="000E11DF" w14:paraId="48660FF3"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54099382"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 </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0E6CD180"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w:t>
            </w:r>
            <w:hyperlink r:id="rId24" w:anchor="I6344')" w:tooltip="enlace" w:history="1">
              <w:r w:rsidRPr="000E11DF">
                <w:rPr>
                  <w:rFonts w:eastAsia="Times New Roman"/>
                  <w:color w:val="0077AA"/>
                  <w:sz w:val="20"/>
                  <w:szCs w:val="20"/>
                  <w:u w:val="single"/>
                  <w:lang w:val="es-ES" w:eastAsia="es-ES"/>
                </w:rPr>
                <w:t>Art. 181.6 CP (LA LEY 3996/1995)</w:t>
              </w:r>
            </w:hyperlink>
            <w:r w:rsidRPr="000E11DF">
              <w:rPr>
                <w:rFonts w:eastAsia="Times New Roman"/>
                <w:sz w:val="20"/>
                <w:szCs w:val="20"/>
                <w:lang w:val="es-ES" w:eastAsia="es-ES"/>
              </w:rPr>
              <w:t>)</w:t>
            </w:r>
          </w:p>
        </w:tc>
        <w:tc>
          <w:tcPr>
            <w:tcW w:w="428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7FADC4DB" w14:textId="77777777" w:rsidR="000E11DF" w:rsidRPr="000E11DF" w:rsidRDefault="000E11DF" w:rsidP="000E11DF">
            <w:pPr>
              <w:spacing w:before="120" w:after="120"/>
              <w:ind w:left="0"/>
              <w:jc w:val="center"/>
              <w:rPr>
                <w:rFonts w:eastAsia="Times New Roman"/>
                <w:sz w:val="20"/>
                <w:szCs w:val="20"/>
                <w:lang w:val="es-ES" w:eastAsia="es-ES"/>
              </w:rPr>
            </w:pPr>
            <w:r w:rsidRPr="000E11DF">
              <w:rPr>
                <w:rFonts w:eastAsia="Times New Roman"/>
                <w:sz w:val="20"/>
                <w:szCs w:val="20"/>
                <w:lang w:val="es-ES" w:eastAsia="es-ES"/>
              </w:rPr>
              <w:t>Si concurren dos o más subtipos agravados (la pena resultante de nuevo se aplica en la mitad superior). (No cabe aplicar subtipo atenuado).</w:t>
            </w:r>
          </w:p>
        </w:tc>
      </w:tr>
      <w:tr w:rsidR="000E11DF" w:rsidRPr="000E11DF" w14:paraId="3DFE7119" w14:textId="77777777" w:rsidTr="000E11DF">
        <w:tc>
          <w:tcPr>
            <w:tcW w:w="481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0E7ECA00" w14:textId="77777777" w:rsidR="000E11DF" w:rsidRPr="000E11DF" w:rsidRDefault="000E11DF" w:rsidP="000E11DF">
            <w:pPr>
              <w:spacing w:before="120" w:after="120" w:line="384" w:lineRule="atLeast"/>
              <w:ind w:left="0"/>
              <w:jc w:val="center"/>
              <w:rPr>
                <w:rFonts w:eastAsia="Times New Roman"/>
                <w:color w:val="333333"/>
                <w:sz w:val="20"/>
                <w:szCs w:val="20"/>
                <w:lang w:val="es-ES" w:eastAsia="es-ES"/>
              </w:rPr>
            </w:pPr>
            <w:r w:rsidRPr="000E11DF">
              <w:rPr>
                <w:rFonts w:eastAsia="Times New Roman"/>
                <w:color w:val="333333"/>
                <w:sz w:val="20"/>
                <w:szCs w:val="20"/>
                <w:lang w:val="es-ES" w:eastAsia="es-ES"/>
              </w:rPr>
              <w:t xml:space="preserve">Subtipo atenuado: actos sexuales con menores de 16 años sin violencia, intimidación o mujer con </w:t>
            </w:r>
            <w:r w:rsidRPr="000E11DF">
              <w:rPr>
                <w:rFonts w:eastAsia="Times New Roman"/>
                <w:color w:val="333333"/>
                <w:sz w:val="20"/>
                <w:szCs w:val="20"/>
                <w:lang w:val="es-ES" w:eastAsia="es-ES"/>
              </w:rPr>
              <w:lastRenderedPageBreak/>
              <w:t>voluntad anulada y sin subtipo agravado (Puede concurrir abuso de superioridad o vulnerabilidad de la víctima).</w:t>
            </w:r>
          </w:p>
          <w:p w14:paraId="31182AFB" w14:textId="77777777" w:rsidR="000E11DF" w:rsidRPr="000E11DF" w:rsidRDefault="000E11DF" w:rsidP="000E11DF">
            <w:pPr>
              <w:spacing w:before="120" w:after="120" w:line="384" w:lineRule="atLeast"/>
              <w:ind w:left="0"/>
              <w:jc w:val="center"/>
              <w:rPr>
                <w:rFonts w:eastAsia="Times New Roman"/>
                <w:color w:val="333333"/>
                <w:sz w:val="20"/>
                <w:szCs w:val="20"/>
                <w:lang w:val="es-ES" w:eastAsia="es-ES"/>
              </w:rPr>
            </w:pPr>
            <w:r w:rsidRPr="000E11DF">
              <w:rPr>
                <w:rFonts w:eastAsia="Times New Roman"/>
                <w:b/>
                <w:bCs/>
                <w:color w:val="333333"/>
                <w:sz w:val="20"/>
                <w:szCs w:val="20"/>
                <w:lang w:val="es-ES" w:eastAsia="es-ES"/>
              </w:rPr>
              <w:t>Datos a tener en cuenta para aplicar el subtipo atenuado:</w:t>
            </w:r>
          </w:p>
          <w:p w14:paraId="0735B5E1" w14:textId="77777777" w:rsidR="000E11DF" w:rsidRPr="000E11DF" w:rsidRDefault="000E11DF" w:rsidP="000E11DF">
            <w:pPr>
              <w:spacing w:before="120" w:after="120" w:line="384" w:lineRule="atLeast"/>
              <w:ind w:left="0"/>
              <w:jc w:val="center"/>
              <w:rPr>
                <w:rFonts w:eastAsia="Times New Roman"/>
                <w:color w:val="333333"/>
                <w:sz w:val="20"/>
                <w:szCs w:val="20"/>
                <w:lang w:val="es-ES" w:eastAsia="es-ES"/>
              </w:rPr>
            </w:pPr>
            <w:r w:rsidRPr="000E11DF">
              <w:rPr>
                <w:rFonts w:eastAsia="Times New Roman"/>
                <w:b/>
                <w:bCs/>
                <w:color w:val="333333"/>
                <w:sz w:val="20"/>
                <w:szCs w:val="20"/>
                <w:lang w:val="es-ES" w:eastAsia="es-ES"/>
              </w:rPr>
              <w:t>1.-En atención a la menor entidad del hecho y</w:t>
            </w:r>
          </w:p>
          <w:p w14:paraId="328F3249" w14:textId="77777777" w:rsidR="000E11DF" w:rsidRPr="000E11DF" w:rsidRDefault="000E11DF" w:rsidP="000E11DF">
            <w:pPr>
              <w:spacing w:before="120" w:after="120" w:line="384" w:lineRule="atLeast"/>
              <w:ind w:left="0"/>
              <w:jc w:val="center"/>
              <w:rPr>
                <w:rFonts w:eastAsia="Times New Roman"/>
                <w:color w:val="333333"/>
                <w:sz w:val="20"/>
                <w:szCs w:val="20"/>
                <w:lang w:val="es-ES" w:eastAsia="es-ES"/>
              </w:rPr>
            </w:pPr>
            <w:r w:rsidRPr="000E11DF">
              <w:rPr>
                <w:rFonts w:eastAsia="Times New Roman"/>
                <w:b/>
                <w:bCs/>
                <w:color w:val="333333"/>
                <w:sz w:val="20"/>
                <w:szCs w:val="20"/>
                <w:lang w:val="es-ES" w:eastAsia="es-ES"/>
              </w:rPr>
              <w:t>2.- Valorando todas las circunstancias concurrentes, incluyendo las circunstancias personales del culpable</w:t>
            </w:r>
            <w:hyperlink r:id="rId25" w:anchor="nDT0000374657_NOTAT2-1" w:history="1">
              <w:r w:rsidRPr="000E11DF">
                <w:rPr>
                  <w:rFonts w:eastAsia="Times New Roman"/>
                  <w:b/>
                  <w:bCs/>
                  <w:color w:val="0077AA"/>
                  <w:sz w:val="20"/>
                  <w:szCs w:val="20"/>
                  <w:u w:val="single"/>
                  <w:vertAlign w:val="superscript"/>
                  <w:lang w:val="es-ES" w:eastAsia="es-ES"/>
                </w:rPr>
                <w:t> (3)</w:t>
              </w:r>
            </w:hyperlink>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A88E12D" w14:textId="77777777" w:rsidR="000E11DF" w:rsidRPr="000E11DF" w:rsidRDefault="000E11DF" w:rsidP="000E11DF">
            <w:pPr>
              <w:ind w:left="0"/>
              <w:jc w:val="center"/>
              <w:rPr>
                <w:rFonts w:eastAsia="Times New Roman"/>
                <w:sz w:val="20"/>
                <w:szCs w:val="20"/>
                <w:lang w:val="es-ES" w:eastAsia="es-ES"/>
              </w:rPr>
            </w:pPr>
            <w:r w:rsidRPr="000E11DF">
              <w:rPr>
                <w:rFonts w:eastAsia="Times New Roman"/>
                <w:sz w:val="20"/>
                <w:szCs w:val="20"/>
                <w:lang w:val="es-ES" w:eastAsia="es-ES"/>
              </w:rPr>
              <w:lastRenderedPageBreak/>
              <w:t>(</w:t>
            </w:r>
            <w:hyperlink r:id="rId26" w:anchor="I6344')" w:tooltip="enlace" w:history="1">
              <w:r w:rsidRPr="000E11DF">
                <w:rPr>
                  <w:rFonts w:eastAsia="Times New Roman"/>
                  <w:color w:val="0077AA"/>
                  <w:sz w:val="20"/>
                  <w:szCs w:val="20"/>
                  <w:u w:val="single"/>
                  <w:lang w:val="es-ES" w:eastAsia="es-ES"/>
                </w:rPr>
                <w:t>Art. 181.3 CP (LA LEY 3996/1995)</w:t>
              </w:r>
            </w:hyperlink>
            <w:r w:rsidRPr="000E11DF">
              <w:rPr>
                <w:rFonts w:eastAsia="Times New Roman"/>
                <w:sz w:val="20"/>
                <w:szCs w:val="20"/>
                <w:lang w:val="es-ES" w:eastAsia="es-ES"/>
              </w:rPr>
              <w:t>)</w:t>
            </w:r>
          </w:p>
        </w:tc>
        <w:tc>
          <w:tcPr>
            <w:tcW w:w="428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14:paraId="30336034" w14:textId="77777777" w:rsidR="000E11DF" w:rsidRPr="000E11DF" w:rsidRDefault="000E11DF" w:rsidP="000E11DF">
            <w:pPr>
              <w:ind w:left="0"/>
              <w:jc w:val="center"/>
              <w:rPr>
                <w:rFonts w:eastAsia="Times New Roman"/>
                <w:sz w:val="20"/>
                <w:szCs w:val="20"/>
                <w:lang w:val="es-ES" w:eastAsia="es-ES"/>
              </w:rPr>
            </w:pPr>
            <w:r w:rsidRPr="000E11DF">
              <w:rPr>
                <w:rFonts w:eastAsia="Times New Roman"/>
                <w:sz w:val="20"/>
                <w:szCs w:val="20"/>
                <w:lang w:val="es-ES" w:eastAsia="es-ES"/>
              </w:rPr>
              <w:t>Pena de prisión inferior en grado</w:t>
            </w:r>
          </w:p>
        </w:tc>
      </w:tr>
    </w:tbl>
    <w:p w14:paraId="6545AD7D" w14:textId="77777777" w:rsidR="000E11DF" w:rsidRPr="000E11DF" w:rsidRDefault="000E11DF" w:rsidP="000E11DF">
      <w:pPr>
        <w:pBdr>
          <w:bottom w:val="single" w:sz="6" w:space="8" w:color="EAEAEA"/>
        </w:pBdr>
        <w:shd w:val="clear" w:color="auto" w:fill="FEFEFE"/>
        <w:spacing w:line="300" w:lineRule="atLeast"/>
        <w:ind w:left="0" w:right="150"/>
        <w:rPr>
          <w:rFonts w:eastAsia="Times New Roman"/>
          <w:b/>
          <w:bCs/>
          <w:color w:val="333333"/>
          <w:sz w:val="20"/>
          <w:szCs w:val="20"/>
          <w:lang w:val="es-ES" w:eastAsia="es-ES"/>
        </w:rPr>
      </w:pPr>
      <w:hyperlink r:id="rId27" w:anchor="tDT0000374657_NOTAT1-1" w:history="1">
        <w:r w:rsidRPr="000E11DF">
          <w:rPr>
            <w:rFonts w:eastAsia="Times New Roman"/>
            <w:b/>
            <w:bCs/>
            <w:color w:val="0077AA"/>
            <w:sz w:val="20"/>
            <w:szCs w:val="20"/>
            <w:u w:val="single"/>
            <w:lang w:val="es-ES" w:eastAsia="es-ES"/>
          </w:rPr>
          <w:t>(1)</w:t>
        </w:r>
      </w:hyperlink>
    </w:p>
    <w:p w14:paraId="3D1D7358"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t>El legislador no ha fijado una diferencia para cuando en los casos de agresión sexual sin acceso carnal se ejecuta el hecho con o sin abuso de superioridad o vulnerabilidad de la víctima con subtipo agravado. Nótese que lo correcto hubiera sido fijar una pena mayor para cuando en estos casos el delito se perpetra con abuso de superioridad o vulnerabilidad de la víctima, pero no lo ha hecho y la pena viene a ser la misma, cuando es más grave y antijurídico ejecutar el hecho con abuso de superioridad o vulnerabilidad de la víctima, pero no lo ha hecho, o se ha olvidado, por lo que la pena es la misma en ambos casos.</w:t>
      </w:r>
    </w:p>
    <w:p w14:paraId="2DDED621" w14:textId="77777777" w:rsidR="000E11DF" w:rsidRPr="000E11DF" w:rsidRDefault="000E11DF" w:rsidP="000E11DF">
      <w:pPr>
        <w:pBdr>
          <w:bottom w:val="single" w:sz="6" w:space="8" w:color="EAEAEA"/>
        </w:pBdr>
        <w:shd w:val="clear" w:color="auto" w:fill="FFFFFF"/>
        <w:spacing w:before="150" w:line="384" w:lineRule="atLeast"/>
        <w:ind w:left="720"/>
        <w:jc w:val="right"/>
        <w:rPr>
          <w:rFonts w:eastAsia="Times New Roman"/>
          <w:color w:val="666666"/>
          <w:sz w:val="20"/>
          <w:szCs w:val="20"/>
          <w:lang w:val="es-ES" w:eastAsia="es-ES"/>
        </w:rPr>
      </w:pPr>
      <w:hyperlink r:id="rId28" w:anchor="tDT0000374657_NOTAT1-1" w:history="1">
        <w:r w:rsidRPr="000E11DF">
          <w:rPr>
            <w:rFonts w:eastAsia="Times New Roman"/>
            <w:b/>
            <w:bCs/>
            <w:color w:val="0077AA"/>
            <w:sz w:val="20"/>
            <w:szCs w:val="20"/>
            <w:u w:val="single"/>
            <w:lang w:val="es-ES" w:eastAsia="es-ES"/>
          </w:rPr>
          <w:t>Ver Texto</w:t>
        </w:r>
      </w:hyperlink>
    </w:p>
    <w:p w14:paraId="58C97DB0" w14:textId="77777777" w:rsidR="000E11DF" w:rsidRPr="000E11DF" w:rsidRDefault="000E11DF" w:rsidP="000E11DF">
      <w:pPr>
        <w:pBdr>
          <w:bottom w:val="single" w:sz="6" w:space="8" w:color="EAEAEA"/>
        </w:pBdr>
        <w:shd w:val="clear" w:color="auto" w:fill="FEFEFE"/>
        <w:spacing w:line="300" w:lineRule="atLeast"/>
        <w:ind w:left="0" w:right="150"/>
        <w:rPr>
          <w:rFonts w:eastAsia="Times New Roman"/>
          <w:b/>
          <w:bCs/>
          <w:color w:val="333333"/>
          <w:sz w:val="20"/>
          <w:szCs w:val="20"/>
          <w:lang w:val="es-ES" w:eastAsia="es-ES"/>
        </w:rPr>
      </w:pPr>
      <w:hyperlink r:id="rId29" w:anchor="tDT0000374657_NOTAT1-2" w:history="1">
        <w:r w:rsidRPr="000E11DF">
          <w:rPr>
            <w:rFonts w:eastAsia="Times New Roman"/>
            <w:b/>
            <w:bCs/>
            <w:color w:val="0077AA"/>
            <w:sz w:val="20"/>
            <w:szCs w:val="20"/>
            <w:u w:val="single"/>
            <w:lang w:val="es-ES" w:eastAsia="es-ES"/>
          </w:rPr>
          <w:t>(2)</w:t>
        </w:r>
      </w:hyperlink>
    </w:p>
    <w:p w14:paraId="44E7B0A3"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t>Sorprende que para aplicar el subtipo atenuado en los casos de agresiones sexuales a mayores de 16 años con diferencia a agresiones sexuales a menores de 16 años de edad las circunstancias a plantear por la defensa ante una posible conformidad o propuesta alternativa para rebajar la pena que, inicialmente, puede haber pedido la acusación se haga mención a circunstancias que no son las mismas en uno y otro caso.</w:t>
      </w:r>
    </w:p>
    <w:p w14:paraId="0770460B"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t>Véase que en el caso de agresiones sexuales a mayores de 16 años de edad se exige que se tengan en cuenta dos circunstancias: 1.-En atención a la menor entidad del hecho y 2.- A las circunstancias personales del culpable (</w:t>
      </w:r>
      <w:hyperlink r:id="rId30" w:anchor="I6106')" w:tooltip="enlace" w:history="1">
        <w:r w:rsidRPr="000E11DF">
          <w:rPr>
            <w:rFonts w:eastAsia="Times New Roman"/>
            <w:color w:val="0077AA"/>
            <w:sz w:val="20"/>
            <w:szCs w:val="20"/>
            <w:u w:val="single"/>
            <w:lang w:val="es-ES" w:eastAsia="es-ES"/>
          </w:rPr>
          <w:t>Art. 178.4 CP (LA LEY 3996/1995)</w:t>
        </w:r>
      </w:hyperlink>
      <w:r w:rsidRPr="000E11DF">
        <w:rPr>
          <w:rFonts w:eastAsia="Times New Roman"/>
          <w:color w:val="333333"/>
          <w:sz w:val="20"/>
          <w:szCs w:val="20"/>
          <w:lang w:val="es-ES" w:eastAsia="es-ES"/>
        </w:rPr>
        <w:t>)</w:t>
      </w:r>
    </w:p>
    <w:p w14:paraId="793BCBE4"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t>Y cuando se trata de agresiones sexuales a menores de 16 años para aplicar el subtipo atenuado la defensa deberá apelar a (</w:t>
      </w:r>
      <w:hyperlink r:id="rId31" w:anchor="I6344')" w:tooltip="enlace" w:history="1">
        <w:r w:rsidRPr="000E11DF">
          <w:rPr>
            <w:rFonts w:eastAsia="Times New Roman"/>
            <w:color w:val="0077AA"/>
            <w:sz w:val="20"/>
            <w:szCs w:val="20"/>
            <w:u w:val="single"/>
            <w:lang w:val="es-ES" w:eastAsia="es-ES"/>
          </w:rPr>
          <w:t>Art. 181.3 CP (LA LEY 3996/1995)</w:t>
        </w:r>
      </w:hyperlink>
      <w:r w:rsidRPr="000E11DF">
        <w:rPr>
          <w:rFonts w:eastAsia="Times New Roman"/>
          <w:color w:val="333333"/>
          <w:sz w:val="20"/>
          <w:szCs w:val="20"/>
          <w:lang w:val="es-ES" w:eastAsia="es-ES"/>
        </w:rPr>
        <w:t>) «Datos a tener en cuenta para aplicar el subtipo atenuado: 1.-En atención a la menor entidad del hecho y 2.- Valorando todas las circunstancias concurrentes, incluyendo las circunstancias personales del culpable»</w:t>
      </w:r>
    </w:p>
    <w:p w14:paraId="0609D701"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lastRenderedPageBreak/>
        <w:t>Llama la atención que, siendo como se trata, de un subtipo atenuado en ambos casos de agresiones sexuales a mayores y menores de 16 años de edad el legislador haya otorgado un tratamiento diferente a la referencia de «Las circunstancias personales del culpable», ya que esta mención será aplicable solo en los casos de agresiones sexuales a mayores de 16 años de edad; sin embargo, el legislador amplía las «circunstancias» a tener en cuenta para aplicar el subtipo atenuado ya que en los casos de agresiones sexuales a menores de edad las circunstancias a tener en cuenta son más amplias, ya que se tendrán en cuenta «todas las circunstancias concurrentes, incluyendo las circunstancias personales del culpable», con lo que se amplía el círculo de circunstancias a tener en cuenta, ya que además de las del culpable se podrán tener en cuenta cualesquiera otras, no solo las del culpable.</w:t>
      </w:r>
    </w:p>
    <w:p w14:paraId="4289E781" w14:textId="77777777" w:rsidR="000E11DF" w:rsidRPr="000E11DF" w:rsidRDefault="000E11DF" w:rsidP="000E11DF">
      <w:pPr>
        <w:pBdr>
          <w:bottom w:val="single" w:sz="6" w:space="8" w:color="EAEAEA"/>
        </w:pBdr>
        <w:shd w:val="clear" w:color="auto" w:fill="FFFFFF"/>
        <w:spacing w:before="150" w:line="384" w:lineRule="atLeast"/>
        <w:ind w:left="720"/>
        <w:jc w:val="right"/>
        <w:rPr>
          <w:rFonts w:eastAsia="Times New Roman"/>
          <w:color w:val="666666"/>
          <w:sz w:val="20"/>
          <w:szCs w:val="20"/>
          <w:lang w:val="es-ES" w:eastAsia="es-ES"/>
        </w:rPr>
      </w:pPr>
      <w:hyperlink r:id="rId32" w:anchor="tDT0000374657_NOTAT1-2" w:history="1">
        <w:r w:rsidRPr="000E11DF">
          <w:rPr>
            <w:rFonts w:eastAsia="Times New Roman"/>
            <w:b/>
            <w:bCs/>
            <w:color w:val="0077AA"/>
            <w:sz w:val="20"/>
            <w:szCs w:val="20"/>
            <w:u w:val="single"/>
            <w:lang w:val="es-ES" w:eastAsia="es-ES"/>
          </w:rPr>
          <w:t>Ver Texto</w:t>
        </w:r>
      </w:hyperlink>
    </w:p>
    <w:p w14:paraId="3F8304CC" w14:textId="77777777" w:rsidR="000E11DF" w:rsidRPr="000E11DF" w:rsidRDefault="000E11DF" w:rsidP="000E11DF">
      <w:pPr>
        <w:pBdr>
          <w:bottom w:val="single" w:sz="6" w:space="8" w:color="EAEAEA"/>
        </w:pBdr>
        <w:shd w:val="clear" w:color="auto" w:fill="FEFEFE"/>
        <w:spacing w:line="300" w:lineRule="atLeast"/>
        <w:ind w:left="0" w:right="150"/>
        <w:rPr>
          <w:rFonts w:eastAsia="Times New Roman"/>
          <w:b/>
          <w:bCs/>
          <w:color w:val="333333"/>
          <w:sz w:val="20"/>
          <w:szCs w:val="20"/>
          <w:lang w:val="es-ES" w:eastAsia="es-ES"/>
        </w:rPr>
      </w:pPr>
      <w:hyperlink r:id="rId33" w:anchor="tDT0000374657_NOTAT2-1" w:history="1">
        <w:r w:rsidRPr="000E11DF">
          <w:rPr>
            <w:rFonts w:eastAsia="Times New Roman"/>
            <w:b/>
            <w:bCs/>
            <w:color w:val="0077AA"/>
            <w:sz w:val="20"/>
            <w:szCs w:val="20"/>
            <w:u w:val="single"/>
            <w:lang w:val="es-ES" w:eastAsia="es-ES"/>
          </w:rPr>
          <w:t>(3)</w:t>
        </w:r>
      </w:hyperlink>
    </w:p>
    <w:p w14:paraId="205BE426"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t>Sorprende que para aplicar el subtipo atenuado en los casos de agresiones sexuales a mayores de 16 años con diferencia a agresiones sexuales a menores de 16 años de edad las circunstancias a plantear por la defensa ante una posible conformidad o propuesta alternativa para rebajar la pena que, inicialmente, puede haber pedido la acusación se haga mención a circunstancias que no son las mismas en uno y otro caso.</w:t>
      </w:r>
    </w:p>
    <w:p w14:paraId="004C37B6"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t>Véase que en el caso de agresiones sexuales a mayores de 16 años de edad se exige que se tengan en cuenta dos circunstancias: 1.-En atención a la menor entidad del hecho y 2.- A las circunstancias personales del culpable (</w:t>
      </w:r>
      <w:hyperlink r:id="rId34" w:anchor="I6106')" w:tooltip="enlace" w:history="1">
        <w:r w:rsidRPr="000E11DF">
          <w:rPr>
            <w:rFonts w:eastAsia="Times New Roman"/>
            <w:color w:val="0077AA"/>
            <w:sz w:val="20"/>
            <w:szCs w:val="20"/>
            <w:u w:val="single"/>
            <w:lang w:val="es-ES" w:eastAsia="es-ES"/>
          </w:rPr>
          <w:t>Art. 178.4 CP (LA LEY 3996/1995)</w:t>
        </w:r>
      </w:hyperlink>
      <w:r w:rsidRPr="000E11DF">
        <w:rPr>
          <w:rFonts w:eastAsia="Times New Roman"/>
          <w:color w:val="333333"/>
          <w:sz w:val="20"/>
          <w:szCs w:val="20"/>
          <w:lang w:val="es-ES" w:eastAsia="es-ES"/>
        </w:rPr>
        <w:t>)</w:t>
      </w:r>
    </w:p>
    <w:p w14:paraId="0701F38C"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t>Y cuando se trata de agresiones sexuales a menores de 16 años para aplicar el subtipo atenuado la defensa deberá apelar a (</w:t>
      </w:r>
      <w:hyperlink r:id="rId35" w:anchor="I6344')" w:tooltip="enlace" w:history="1">
        <w:r w:rsidRPr="000E11DF">
          <w:rPr>
            <w:rFonts w:eastAsia="Times New Roman"/>
            <w:color w:val="0077AA"/>
            <w:sz w:val="20"/>
            <w:szCs w:val="20"/>
            <w:u w:val="single"/>
            <w:lang w:val="es-ES" w:eastAsia="es-ES"/>
          </w:rPr>
          <w:t>Art. 181.3 CP (LA LEY 3996/1995)</w:t>
        </w:r>
      </w:hyperlink>
      <w:r w:rsidRPr="000E11DF">
        <w:rPr>
          <w:rFonts w:eastAsia="Times New Roman"/>
          <w:color w:val="333333"/>
          <w:sz w:val="20"/>
          <w:szCs w:val="20"/>
          <w:lang w:val="es-ES" w:eastAsia="es-ES"/>
        </w:rPr>
        <w:t>) «Datos a tener en cuenta para aplicar el subtipo atenuado: 1.-En atención a la menor entidad del hecho y 2.- Valorando todas las circunstancias concurrentes, incluyendo las circunstancias personales del culpable»</w:t>
      </w:r>
    </w:p>
    <w:p w14:paraId="70E8FEB3" w14:textId="77777777" w:rsidR="000E11DF" w:rsidRPr="000E11DF" w:rsidRDefault="000E11DF" w:rsidP="000E11DF">
      <w:pPr>
        <w:pBdr>
          <w:bottom w:val="single" w:sz="6" w:space="8" w:color="EAEAEA"/>
        </w:pBdr>
        <w:shd w:val="clear" w:color="auto" w:fill="FEFEFE"/>
        <w:spacing w:line="384" w:lineRule="atLeast"/>
        <w:ind w:left="720"/>
        <w:rPr>
          <w:rFonts w:eastAsia="Times New Roman"/>
          <w:color w:val="333333"/>
          <w:sz w:val="20"/>
          <w:szCs w:val="20"/>
          <w:lang w:val="es-ES" w:eastAsia="es-ES"/>
        </w:rPr>
      </w:pPr>
      <w:r w:rsidRPr="000E11DF">
        <w:rPr>
          <w:rFonts w:eastAsia="Times New Roman"/>
          <w:color w:val="333333"/>
          <w:sz w:val="20"/>
          <w:szCs w:val="20"/>
          <w:lang w:val="es-ES" w:eastAsia="es-ES"/>
        </w:rPr>
        <w:t>Llama la atención que, siendo como se trata, de un subtipo atenuado en ambos casos de agresiones sexuales a mayores y menores de 16 años de edad el legislador haya otorgado un tratamiento diferente a la referencia de «Las circunstancias personales del culpable», ya que esta mención será aplicable solo en los casos de agresiones sexuales a mayores de 16 años de edad; sin embargo, el legislador amplía las «circunstancias» a tener en cuenta para aplicar el subtipo atenuado ya que en los casos de agresiones sexuales a menores de edad las circunstancias a tener en cuenta son más amplias, ya que se tendrán en cuenta «todas las circunstancias concurrentes, incluyendo las circunstancias personales del culpable», con lo que se amplía el círculo de circunstancias a tener en cuenta, ya que además de las del culpable se podrán tener en cuenta cualesquiera otras, no solo las del culpable.</w:t>
      </w:r>
    </w:p>
    <w:p w14:paraId="4D3A1134" w14:textId="77777777" w:rsidR="005E14F6" w:rsidRPr="000E11DF" w:rsidRDefault="005E14F6">
      <w:pPr>
        <w:rPr>
          <w:sz w:val="20"/>
          <w:szCs w:val="20"/>
        </w:rPr>
      </w:pPr>
    </w:p>
    <w:sectPr w:rsidR="005E14F6" w:rsidRPr="000E11DF" w:rsidSect="000E11DF">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DF"/>
    <w:rsid w:val="000E11DF"/>
    <w:rsid w:val="005E14F6"/>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75CF"/>
  <w15:chartTrackingRefBased/>
  <w15:docId w15:val="{9A396288-BF1E-44B2-B690-3E5623F1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9"/>
        <w:szCs w:val="19"/>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2">
    <w:name w:val="heading 2"/>
    <w:basedOn w:val="Normal"/>
    <w:link w:val="Ttulo2Car"/>
    <w:uiPriority w:val="9"/>
    <w:qFormat/>
    <w:rsid w:val="000E11DF"/>
    <w:pPr>
      <w:spacing w:before="100" w:beforeAutospacing="1" w:after="100" w:afterAutospacing="1"/>
      <w:ind w:left="0"/>
      <w:jc w:val="left"/>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E11DF"/>
    <w:rPr>
      <w:rFonts w:ascii="Times New Roman" w:eastAsia="Times New Roman" w:hAnsi="Times New Roman" w:cs="Times New Roman"/>
      <w:b/>
      <w:bCs/>
      <w:sz w:val="36"/>
      <w:szCs w:val="36"/>
      <w:lang w:eastAsia="es-ES"/>
    </w:rPr>
  </w:style>
  <w:style w:type="paragraph" w:customStyle="1" w:styleId="pau">
    <w:name w:val="pau"/>
    <w:basedOn w:val="Normal"/>
    <w:rsid w:val="000E11DF"/>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ppr">
    <w:name w:val="ppr"/>
    <w:basedOn w:val="Normal"/>
    <w:rsid w:val="000E11DF"/>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pex">
    <w:name w:val="pex"/>
    <w:basedOn w:val="Normal"/>
    <w:rsid w:val="000E11DF"/>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0E11DF"/>
    <w:rPr>
      <w:color w:val="0000FF"/>
      <w:u w:val="single"/>
    </w:rPr>
  </w:style>
  <w:style w:type="paragraph" w:styleId="NormalWeb">
    <w:name w:val="Normal (Web)"/>
    <w:basedOn w:val="Normal"/>
    <w:uiPriority w:val="99"/>
    <w:semiHidden/>
    <w:unhideWhenUsed/>
    <w:rsid w:val="000E11DF"/>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d1">
    <w:name w:val="d1"/>
    <w:basedOn w:val="Normal"/>
    <w:rsid w:val="000E11DF"/>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E1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5392">
      <w:bodyDiv w:val="1"/>
      <w:marLeft w:val="0"/>
      <w:marRight w:val="0"/>
      <w:marTop w:val="0"/>
      <w:marBottom w:val="0"/>
      <w:divBdr>
        <w:top w:val="none" w:sz="0" w:space="0" w:color="auto"/>
        <w:left w:val="none" w:sz="0" w:space="0" w:color="auto"/>
        <w:bottom w:val="none" w:sz="0" w:space="0" w:color="auto"/>
        <w:right w:val="none" w:sz="0" w:space="0" w:color="auto"/>
      </w:divBdr>
      <w:divsChild>
        <w:div w:id="665791780">
          <w:marLeft w:val="0"/>
          <w:marRight w:val="0"/>
          <w:marTop w:val="0"/>
          <w:marBottom w:val="120"/>
          <w:divBdr>
            <w:top w:val="none" w:sz="0" w:space="0" w:color="auto"/>
            <w:left w:val="none" w:sz="0" w:space="0" w:color="auto"/>
            <w:bottom w:val="none" w:sz="0" w:space="0" w:color="auto"/>
            <w:right w:val="none" w:sz="0" w:space="0" w:color="auto"/>
          </w:divBdr>
          <w:divsChild>
            <w:div w:id="1158766766">
              <w:marLeft w:val="0"/>
              <w:marRight w:val="0"/>
              <w:marTop w:val="0"/>
              <w:marBottom w:val="0"/>
              <w:divBdr>
                <w:top w:val="none" w:sz="0" w:space="0" w:color="auto"/>
                <w:left w:val="none" w:sz="0" w:space="0" w:color="auto"/>
                <w:bottom w:val="none" w:sz="0" w:space="0" w:color="auto"/>
                <w:right w:val="none" w:sz="0" w:space="0" w:color="auto"/>
              </w:divBdr>
              <w:divsChild>
                <w:div w:id="1834368764">
                  <w:marLeft w:val="0"/>
                  <w:marRight w:val="0"/>
                  <w:marTop w:val="45"/>
                  <w:marBottom w:val="0"/>
                  <w:divBdr>
                    <w:top w:val="none" w:sz="0" w:space="0" w:color="auto"/>
                    <w:left w:val="none" w:sz="0" w:space="0" w:color="auto"/>
                    <w:bottom w:val="none" w:sz="0" w:space="0" w:color="auto"/>
                    <w:right w:val="none" w:sz="0" w:space="0" w:color="auto"/>
                  </w:divBdr>
                </w:div>
                <w:div w:id="14067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5193">
          <w:marLeft w:val="0"/>
          <w:marRight w:val="0"/>
          <w:marTop w:val="0"/>
          <w:marBottom w:val="180"/>
          <w:divBdr>
            <w:top w:val="none" w:sz="0" w:space="0" w:color="auto"/>
            <w:left w:val="none" w:sz="0" w:space="0" w:color="auto"/>
            <w:bottom w:val="none" w:sz="0" w:space="0" w:color="auto"/>
            <w:right w:val="none" w:sz="0" w:space="0" w:color="auto"/>
          </w:divBdr>
        </w:div>
        <w:div w:id="855843965">
          <w:marLeft w:val="0"/>
          <w:marRight w:val="0"/>
          <w:marTop w:val="450"/>
          <w:marBottom w:val="0"/>
          <w:divBdr>
            <w:top w:val="none" w:sz="0" w:space="0" w:color="auto"/>
            <w:left w:val="none" w:sz="0" w:space="0" w:color="auto"/>
            <w:bottom w:val="none" w:sz="0" w:space="0" w:color="auto"/>
            <w:right w:val="none" w:sz="0" w:space="0" w:color="auto"/>
          </w:divBdr>
          <w:divsChild>
            <w:div w:id="480780988">
              <w:marLeft w:val="0"/>
              <w:marRight w:val="240"/>
              <w:marTop w:val="72"/>
              <w:marBottom w:val="240"/>
              <w:divBdr>
                <w:top w:val="none" w:sz="0" w:space="0" w:color="auto"/>
                <w:left w:val="none" w:sz="0" w:space="0" w:color="auto"/>
                <w:bottom w:val="none" w:sz="0" w:space="0" w:color="auto"/>
                <w:right w:val="none" w:sz="0" w:space="0" w:color="auto"/>
              </w:divBdr>
            </w:div>
          </w:divsChild>
        </w:div>
        <w:div w:id="190509807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8349_Vigente.html" TargetMode="External"/><Relationship Id="rId13" Type="http://schemas.openxmlformats.org/officeDocument/2006/relationships/hyperlink" Target="javascript:Redirection('LE0000018349_Vigente.html" TargetMode="External"/><Relationship Id="rId18" Type="http://schemas.openxmlformats.org/officeDocument/2006/relationships/hyperlink" Target="https://diariolaley.laleynext.es/Content/Documento.aspx?params=H4sIAAAAAAAEAMtMSbF1CTEAAmNzEzNTc7Wy1KLizPw8WyMDI2MDS0NjkEBmWqVLfnJIZUGqbVpiTnEqAJcA1qQ1AAAAWKE" TargetMode="External"/><Relationship Id="rId26" Type="http://schemas.openxmlformats.org/officeDocument/2006/relationships/hyperlink" Target="javascript:Redirection('LE0000018349_Vigente.html" TargetMode="External"/><Relationship Id="rId3" Type="http://schemas.openxmlformats.org/officeDocument/2006/relationships/webSettings" Target="webSettings.xml"/><Relationship Id="rId21" Type="http://schemas.openxmlformats.org/officeDocument/2006/relationships/hyperlink" Target="javascript:Redirection('LE0000018349_Vigente.html" TargetMode="External"/><Relationship Id="rId34" Type="http://schemas.openxmlformats.org/officeDocument/2006/relationships/hyperlink" Target="javascript:Redirection('LE0000018349_Vigente.html" TargetMode="External"/><Relationship Id="rId7" Type="http://schemas.openxmlformats.org/officeDocument/2006/relationships/hyperlink" Target="javascript:Redirection('LE0000018349_Vigente.html" TargetMode="External"/><Relationship Id="rId12" Type="http://schemas.openxmlformats.org/officeDocument/2006/relationships/hyperlink" Target="javascript:Redirection('LE0000018349_Vigente.html" TargetMode="External"/><Relationship Id="rId17" Type="http://schemas.openxmlformats.org/officeDocument/2006/relationships/hyperlink" Target="javascript:Redirection('LE0000018349_Vigente.html" TargetMode="External"/><Relationship Id="rId25" Type="http://schemas.openxmlformats.org/officeDocument/2006/relationships/hyperlink" Target="https://diariolaley.laleynext.es/Content/Documento.aspx?params=H4sIAAAAAAAEAMtMSbF1CTEAAmNzEzNTc7Wy1KLizPw8WyMDI2MDS0NjkEBmWqVLfnJIZUGqbVpiTnEqAJcA1qQ1AAAAWKE" TargetMode="External"/><Relationship Id="rId33" Type="http://schemas.openxmlformats.org/officeDocument/2006/relationships/hyperlink" Target="https://diariolaley.laleynext.es/Content/Documento.aspx?params=H4sIAAAAAAAEAMtMSbF1CTEAAmNzEzNTc7Wy1KLizPw8WyMDI2MDS0NjkEBmWqVLfnJIZUGqbVpiTnEqAJcA1qQ1AAAAWKE" TargetMode="External"/><Relationship Id="rId2" Type="http://schemas.openxmlformats.org/officeDocument/2006/relationships/settings" Target="settings.xml"/><Relationship Id="rId16" Type="http://schemas.openxmlformats.org/officeDocument/2006/relationships/hyperlink" Target="javascript:Redirection('LE0000018349_Vigente.html" TargetMode="External"/><Relationship Id="rId20" Type="http://schemas.openxmlformats.org/officeDocument/2006/relationships/hyperlink" Target="javascript:Redirection('LE0000018349_Vigente.html" TargetMode="External"/><Relationship Id="rId29" Type="http://schemas.openxmlformats.org/officeDocument/2006/relationships/hyperlink" Target="https://diariolaley.laleynext.es/Content/Documento.aspx?params=H4sIAAAAAAAEAMtMSbF1CTEAAmNzEzNTc7Wy1KLizPw8WyMDI2MDS0NjkEBmWqVLfnJIZUGqbVpiTnEqAJcA1qQ1AAAAWK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Redirection('LE0000018349_Vigente.html" TargetMode="External"/><Relationship Id="rId24" Type="http://schemas.openxmlformats.org/officeDocument/2006/relationships/hyperlink" Target="javascript:Redirection('LE0000018349_Vigente.html" TargetMode="External"/><Relationship Id="rId32" Type="http://schemas.openxmlformats.org/officeDocument/2006/relationships/hyperlink" Target="https://diariolaley.laleynext.es/Content/Documento.aspx?params=H4sIAAAAAAAEAMtMSbF1CTEAAmNzEzNTc7Wy1KLizPw8WyMDI2MDS0NjkEBmWqVLfnJIZUGqbVpiTnEqAJcA1qQ1AAAAWKE" TargetMode="External"/><Relationship Id="rId37" Type="http://schemas.openxmlformats.org/officeDocument/2006/relationships/theme" Target="theme/theme1.xml"/><Relationship Id="rId5" Type="http://schemas.openxmlformats.org/officeDocument/2006/relationships/hyperlink" Target="javascript:Redirection('LE0000751773_Vigente.html')" TargetMode="External"/><Relationship Id="rId15" Type="http://schemas.openxmlformats.org/officeDocument/2006/relationships/hyperlink" Target="javascript:Redirection('LE0000018349_Vigente.html" TargetMode="External"/><Relationship Id="rId23" Type="http://schemas.openxmlformats.org/officeDocument/2006/relationships/hyperlink" Target="javascript:Redirection('LE0000018349_Vigente.html" TargetMode="External"/><Relationship Id="rId28" Type="http://schemas.openxmlformats.org/officeDocument/2006/relationships/hyperlink" Target="https://diariolaley.laleynext.es/Content/Documento.aspx?params=H4sIAAAAAAAEAMtMSbF1CTEAAmNzEzNTc7Wy1KLizPw8WyMDI2MDS0NjkEBmWqVLfnJIZUGqbVpiTnEqAJcA1qQ1AAAAWKE" TargetMode="External"/><Relationship Id="rId36" Type="http://schemas.openxmlformats.org/officeDocument/2006/relationships/fontTable" Target="fontTable.xml"/><Relationship Id="rId10" Type="http://schemas.openxmlformats.org/officeDocument/2006/relationships/hyperlink" Target="javascript:Redirection('LE0000018349_Vigente.html" TargetMode="External"/><Relationship Id="rId19" Type="http://schemas.openxmlformats.org/officeDocument/2006/relationships/hyperlink" Target="javascript:Redirection('LE0000018349_Vigente.html" TargetMode="External"/><Relationship Id="rId31" Type="http://schemas.openxmlformats.org/officeDocument/2006/relationships/hyperlink" Target="javascript:Redirection('LE0000018349_Vigente.html" TargetMode="External"/><Relationship Id="rId4" Type="http://schemas.openxmlformats.org/officeDocument/2006/relationships/hyperlink" Target="https://diariolaley.laleynext.es/Content/ListaResultadosMat.aspx?params=H4sIAAAAAAAEAEWMywrDIBBFv6auTR_LWSS1i4AhtWRfJmYgglFwtODfl6SL7g7ncC_XEEPdYEqFRMaZ4XITaHNBr6KFZmf3oQnnPcS0UOoqSIHMjhVmhPuo3kM7PV59ezpfpZSN0YIJk127OoZjerw71liCXU2hVH_K_0W_gDYD5icF9F-7R2oVlgAAAA==WKE" TargetMode="External"/><Relationship Id="rId9" Type="http://schemas.openxmlformats.org/officeDocument/2006/relationships/hyperlink" Target="javascript:Redirection('LE0000018349_Vigente.html" TargetMode="External"/><Relationship Id="rId14" Type="http://schemas.openxmlformats.org/officeDocument/2006/relationships/hyperlink" Target="https://diariolaley.laleynext.es/Content/Documento.aspx?params=H4sIAAAAAAAEAMtMSbF1CTEAAmNzEzNTc7Wy1KLizPw8WyMDI2MDS0NjkEBmWqVLfnJIZUGqbVpiTnEqAJcA1qQ1AAAAWKE" TargetMode="External"/><Relationship Id="rId22" Type="http://schemas.openxmlformats.org/officeDocument/2006/relationships/hyperlink" Target="javascript:Redirection('LE0000018349_Vigente.html" TargetMode="External"/><Relationship Id="rId27" Type="http://schemas.openxmlformats.org/officeDocument/2006/relationships/hyperlink" Target="https://diariolaley.laleynext.es/Content/Documento.aspx?params=H4sIAAAAAAAEAMtMSbF1CTEAAmNzEzNTc7Wy1KLizPw8WyMDI2MDS0NjkEBmWqVLfnJIZUGqbVpiTnEqAJcA1qQ1AAAAWKE" TargetMode="External"/><Relationship Id="rId30" Type="http://schemas.openxmlformats.org/officeDocument/2006/relationships/hyperlink" Target="javascript:Redirection('LE0000018349_Vigente.html" TargetMode="External"/><Relationship Id="rId35" Type="http://schemas.openxmlformats.org/officeDocument/2006/relationships/hyperlink" Target="javascript:Redirection('LE0000018349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2025</Words>
  <Characters>11138</Characters>
  <Application>Microsoft Office Word</Application>
  <DocSecurity>0</DocSecurity>
  <Lines>92</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2023-10-10T09:13:00Z</dcterms:created>
  <dcterms:modified xsi:type="dcterms:W3CDTF">2023-10-10T09:18:00Z</dcterms:modified>
</cp:coreProperties>
</file>