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610E" w14:textId="77777777" w:rsidR="002C1788" w:rsidRPr="002C1788" w:rsidRDefault="002C1788" w:rsidP="002C1788">
      <w:pPr>
        <w:shd w:val="clear" w:color="auto" w:fill="FFFFFF"/>
        <w:ind w:left="0"/>
        <w:rPr>
          <w:rFonts w:eastAsia="Times New Roman"/>
          <w:color w:val="616161"/>
          <w:lang w:val="es-ES" w:eastAsia="es-ES"/>
        </w:rPr>
      </w:pPr>
      <w:r w:rsidRPr="002C1788">
        <w:rPr>
          <w:rFonts w:eastAsia="Times New Roman"/>
          <w:color w:val="616161"/>
          <w:lang w:val="es-ES" w:eastAsia="es-ES"/>
        </w:rPr>
        <w:br/>
        <w:t>El Real Decreto-Ley 6/2023, de 19 de diciembre, ha introducido numerosas modificaciones en las principales leyes procesales. Estas reformas en el ámbito penal se concretan en la modificación de 10 artículos (uno de ellos de nueva creación), en los que podemos destacar la preferencia por la presencia telemática para la realización de actos procesales. Conoce los detalles de estas modificaciones, incluyendo la creación de un nuevo título para los actos procesales mediante presencia telemática, así como las modificaciones más relevantes de los artículos afectados por la reforma.</w:t>
      </w:r>
    </w:p>
    <w:p w14:paraId="66413CE3" w14:textId="25CB1E34" w:rsidR="002C1788" w:rsidRPr="002C1788" w:rsidRDefault="002C1788" w:rsidP="002C1788">
      <w:pPr>
        <w:shd w:val="clear" w:color="auto" w:fill="FFFFFF"/>
        <w:ind w:left="0"/>
        <w:rPr>
          <w:rFonts w:eastAsia="Times New Roman"/>
          <w:color w:val="616161"/>
          <w:lang w:val="es-ES" w:eastAsia="es-ES"/>
        </w:rPr>
      </w:pPr>
    </w:p>
    <w:p w14:paraId="7CAC14C3"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color w:val="202020"/>
          <w:lang w:val="es-ES" w:eastAsia="es-ES"/>
        </w:rPr>
        <w:t>A través del </w:t>
      </w:r>
      <w:hyperlink r:id="rId5" w:tgtFrame="_blank" w:history="1">
        <w:r w:rsidRPr="002C1788">
          <w:rPr>
            <w:rFonts w:eastAsia="Times New Roman"/>
            <w:color w:val="2E6D9D"/>
            <w:lang w:val="es-ES" w:eastAsia="es-ES"/>
          </w:rPr>
          <w:t>Real Decreto-ley 6/2023, de 19 de diciembre</w:t>
        </w:r>
      </w:hyperlink>
      <w:r w:rsidRPr="002C1788">
        <w:rPr>
          <w:rFonts w:eastAsia="Times New Roman"/>
          <w:color w:val="202020"/>
          <w:lang w:val="es-ES" w:eastAsia="es-ES"/>
        </w:rPr>
        <w:t>, por el que se aprueban medidas urgentes para la ejecución del Plan de Recuperación, Transformación y Resiliencia en materia de servicio público de justicia, función pública, régimen local y mecenazgo, publicado el 20 de diciembre de 2023 en el BOE, se han introducido numerosas modificaciones en las principales leyes procesales.</w:t>
      </w:r>
    </w:p>
    <w:p w14:paraId="70A56A02"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color w:val="202020"/>
          <w:lang w:val="es-ES" w:eastAsia="es-ES"/>
        </w:rPr>
        <w:t>En concreto el título VIII del libro primero contiene las medidas de eficiencia procesal del servicio público de justicia y, con el fin de armonizar la regulación procesal civil, penal, contencioso-administrativa y social con el contexto de tramitación electrónica, modifica las diferentes leyes procesales.</w:t>
      </w:r>
    </w:p>
    <w:p w14:paraId="14E0C198"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color w:val="202020"/>
          <w:lang w:val="es-ES" w:eastAsia="es-ES"/>
        </w:rPr>
        <w:t>Estas reformas en el ámbito penal se concretan en la modificación de 10 artículos (uno de ellos de nueva creación), destacando la preferencia para la realización de actos procesales mediante presencia telemática, de la que se exceptúan expresamente las actuaciones de naturaleza personal, como los interrogatorios de partes o testigos, además de las excepciones propias del Derecho Penal, preservándose además la facultad de la autoridad judicial para determinar la posible realización de cualquier acto procesal mediante presencia física.</w:t>
      </w:r>
    </w:p>
    <w:p w14:paraId="0D6FA93B" w14:textId="77777777" w:rsidR="002C1788" w:rsidRPr="002C1788" w:rsidRDefault="002C1788" w:rsidP="002C1788">
      <w:pPr>
        <w:shd w:val="clear" w:color="auto" w:fill="FFFFFF"/>
        <w:ind w:left="0"/>
        <w:outlineLvl w:val="2"/>
        <w:rPr>
          <w:rFonts w:eastAsia="Times New Roman"/>
          <w:color w:val="000000"/>
          <w:lang w:val="es-ES" w:eastAsia="es-ES"/>
        </w:rPr>
      </w:pPr>
      <w:r w:rsidRPr="002C1788">
        <w:rPr>
          <w:rFonts w:eastAsia="Times New Roman"/>
          <w:color w:val="000000"/>
          <w:lang w:val="es-ES" w:eastAsia="es-ES"/>
        </w:rPr>
        <w:t>¿En qué consisten las modificaciones de la </w:t>
      </w:r>
      <w:hyperlink r:id="rId6" w:tgtFrame="_blank" w:history="1">
        <w:r w:rsidRPr="002C1788">
          <w:rPr>
            <w:rFonts w:eastAsia="Times New Roman"/>
            <w:color w:val="2E6D9D"/>
            <w:lang w:val="es-ES" w:eastAsia="es-ES"/>
          </w:rPr>
          <w:t>LECrim</w:t>
        </w:r>
      </w:hyperlink>
      <w:r w:rsidRPr="002C1788">
        <w:rPr>
          <w:rFonts w:eastAsia="Times New Roman"/>
          <w:color w:val="000000"/>
          <w:lang w:val="es-ES" w:eastAsia="es-ES"/>
        </w:rPr>
        <w:t>?</w:t>
      </w:r>
    </w:p>
    <w:p w14:paraId="0FBBFB14"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b/>
          <w:bCs/>
          <w:color w:val="202020"/>
          <w:lang w:val="es-ES" w:eastAsia="es-ES"/>
        </w:rPr>
        <w:t>Modificación del art. 109 de la </w:t>
      </w:r>
      <w:hyperlink r:id="rId7" w:tgtFrame="_blank" w:history="1">
        <w:r w:rsidRPr="002C1788">
          <w:rPr>
            <w:rFonts w:eastAsia="Times New Roman"/>
            <w:color w:val="2E6D9D"/>
            <w:lang w:val="es-ES" w:eastAsia="es-ES"/>
          </w:rPr>
          <w:t>LECrim</w:t>
        </w:r>
      </w:hyperlink>
    </w:p>
    <w:p w14:paraId="399BDC0C"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color w:val="202020"/>
          <w:lang w:val="es-ES" w:eastAsia="es-ES"/>
        </w:rPr>
        <w:t>El primer artículo modificado de la </w:t>
      </w:r>
      <w:hyperlink r:id="rId8" w:tgtFrame="_blank" w:history="1">
        <w:r w:rsidRPr="002C1788">
          <w:rPr>
            <w:rFonts w:eastAsia="Times New Roman"/>
            <w:color w:val="2E6D9D"/>
            <w:lang w:val="es-ES" w:eastAsia="es-ES"/>
          </w:rPr>
          <w:t>LECrim</w:t>
        </w:r>
      </w:hyperlink>
      <w:r w:rsidRPr="002C1788">
        <w:rPr>
          <w:rFonts w:eastAsia="Times New Roman"/>
          <w:color w:val="202020"/>
          <w:lang w:val="es-ES" w:eastAsia="es-ES"/>
        </w:rPr>
        <w:t> es el 109, en el que se añaden unas especificaciones para los procesos en los que participen personas con discapacidad. En estos casos deberán de realizarse las adaptaciones y ajustes necesarios, garantizando que:</w:t>
      </w:r>
    </w:p>
    <w:p w14:paraId="2B559187" w14:textId="77777777" w:rsidR="002C1788" w:rsidRPr="002C1788" w:rsidRDefault="002C1788" w:rsidP="002C1788">
      <w:pPr>
        <w:numPr>
          <w:ilvl w:val="0"/>
          <w:numId w:val="1"/>
        </w:numPr>
        <w:shd w:val="clear" w:color="auto" w:fill="FFFFFF"/>
        <w:spacing w:line="375" w:lineRule="atLeast"/>
        <w:rPr>
          <w:rFonts w:eastAsia="Times New Roman"/>
          <w:color w:val="202020"/>
          <w:lang w:val="es-ES" w:eastAsia="es-ES"/>
        </w:rPr>
      </w:pPr>
      <w:r w:rsidRPr="002C1788">
        <w:rPr>
          <w:rFonts w:eastAsia="Times New Roman"/>
          <w:color w:val="202020"/>
          <w:lang w:val="es-ES" w:eastAsia="es-ES"/>
        </w:rPr>
        <w:t>Las comunicaciones con las personas con discapacidad, ya sean orales o escritas, se realicen en un lenguaje claro, sencillo y accesible, teniendo en cuenta sus características personales y sus necesidades. Si fuese necesario, también se realizará la comunicación a la persona que preste apoyo a la persona con discapacidad.</w:t>
      </w:r>
    </w:p>
    <w:p w14:paraId="0CBCA15E" w14:textId="77777777" w:rsidR="002C1788" w:rsidRPr="002C1788" w:rsidRDefault="002C1788" w:rsidP="002C1788">
      <w:pPr>
        <w:numPr>
          <w:ilvl w:val="0"/>
          <w:numId w:val="1"/>
        </w:numPr>
        <w:shd w:val="clear" w:color="auto" w:fill="FFFFFF"/>
        <w:spacing w:line="375" w:lineRule="atLeast"/>
        <w:rPr>
          <w:rFonts w:eastAsia="Times New Roman"/>
          <w:color w:val="202020"/>
          <w:lang w:val="es-ES" w:eastAsia="es-ES"/>
        </w:rPr>
      </w:pPr>
      <w:r w:rsidRPr="002C1788">
        <w:rPr>
          <w:rFonts w:eastAsia="Times New Roman"/>
          <w:color w:val="202020"/>
          <w:lang w:val="es-ES" w:eastAsia="es-ES"/>
        </w:rPr>
        <w:t>Se facilite a las personas con discapacidad la asistencia o apoyos necesarios para que puedan hacerse entender (incluyendo interprete de lengua de signos o medios de apoyo a personas sordas, con discapacidad auditiva o sordociegas).</w:t>
      </w:r>
    </w:p>
    <w:p w14:paraId="3B8744E7" w14:textId="77777777" w:rsidR="002C1788" w:rsidRPr="002C1788" w:rsidRDefault="002C1788" w:rsidP="002C1788">
      <w:pPr>
        <w:numPr>
          <w:ilvl w:val="0"/>
          <w:numId w:val="1"/>
        </w:numPr>
        <w:shd w:val="clear" w:color="auto" w:fill="FFFFFF"/>
        <w:spacing w:line="375" w:lineRule="atLeast"/>
        <w:rPr>
          <w:rFonts w:eastAsia="Times New Roman"/>
          <w:color w:val="202020"/>
          <w:lang w:val="es-ES" w:eastAsia="es-ES"/>
        </w:rPr>
      </w:pPr>
      <w:r w:rsidRPr="002C1788">
        <w:rPr>
          <w:rFonts w:eastAsia="Times New Roman"/>
          <w:color w:val="202020"/>
          <w:lang w:val="es-ES" w:eastAsia="es-ES"/>
        </w:rPr>
        <w:t>Se permita la intervención de un profesional experto que realice las tareas de adaptación y ajuste necesarias para que la persona con discapacidad pueda entender y ser entendida.</w:t>
      </w:r>
    </w:p>
    <w:p w14:paraId="4F6B1CC5" w14:textId="77777777" w:rsidR="002C1788" w:rsidRPr="002C1788" w:rsidRDefault="002C1788" w:rsidP="002C1788">
      <w:pPr>
        <w:numPr>
          <w:ilvl w:val="0"/>
          <w:numId w:val="1"/>
        </w:numPr>
        <w:shd w:val="clear" w:color="auto" w:fill="FFFFFF"/>
        <w:spacing w:line="375" w:lineRule="atLeast"/>
        <w:rPr>
          <w:rFonts w:eastAsia="Times New Roman"/>
          <w:color w:val="202020"/>
          <w:lang w:val="es-ES" w:eastAsia="es-ES"/>
        </w:rPr>
      </w:pPr>
      <w:r w:rsidRPr="002C1788">
        <w:rPr>
          <w:rFonts w:eastAsia="Times New Roman"/>
          <w:color w:val="202020"/>
          <w:lang w:val="es-ES" w:eastAsia="es-ES"/>
        </w:rPr>
        <w:t>La persona con discapacidad pueda estar acompañada de la persona que elija desde el primer contacto con las autoridades y funcionarios.</w:t>
      </w:r>
    </w:p>
    <w:p w14:paraId="38C37153" w14:textId="77777777" w:rsidR="002C1788" w:rsidRDefault="002C1788" w:rsidP="002C1788">
      <w:pPr>
        <w:shd w:val="clear" w:color="auto" w:fill="FFFFFF"/>
        <w:spacing w:after="300"/>
        <w:ind w:left="0"/>
        <w:rPr>
          <w:rFonts w:eastAsia="Times New Roman"/>
          <w:b/>
          <w:bCs/>
          <w:color w:val="202020"/>
          <w:lang w:val="es-ES" w:eastAsia="es-ES"/>
        </w:rPr>
      </w:pPr>
    </w:p>
    <w:p w14:paraId="5B3B9D03" w14:textId="13E44F50"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b/>
          <w:bCs/>
          <w:color w:val="202020"/>
          <w:lang w:val="es-ES" w:eastAsia="es-ES"/>
        </w:rPr>
        <w:t>Modificación del art. 252 de la </w:t>
      </w:r>
      <w:hyperlink r:id="rId9" w:tgtFrame="_blank" w:history="1">
        <w:r w:rsidRPr="002C1788">
          <w:rPr>
            <w:rFonts w:eastAsia="Times New Roman"/>
            <w:color w:val="2E6D9D"/>
            <w:lang w:val="es-ES" w:eastAsia="es-ES"/>
          </w:rPr>
          <w:t>LECrim</w:t>
        </w:r>
      </w:hyperlink>
    </w:p>
    <w:p w14:paraId="19036810"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color w:val="202020"/>
          <w:lang w:val="es-ES" w:eastAsia="es-ES"/>
        </w:rPr>
        <w:t>El artículo 252 de la </w:t>
      </w:r>
      <w:hyperlink r:id="rId10" w:tgtFrame="_blank" w:history="1">
        <w:r w:rsidRPr="002C1788">
          <w:rPr>
            <w:rFonts w:eastAsia="Times New Roman"/>
            <w:color w:val="2E6D9D"/>
            <w:lang w:val="es-ES" w:eastAsia="es-ES"/>
          </w:rPr>
          <w:t>LECrim</w:t>
        </w:r>
      </w:hyperlink>
      <w:r w:rsidRPr="002C1788">
        <w:rPr>
          <w:rFonts w:eastAsia="Times New Roman"/>
          <w:color w:val="202020"/>
          <w:lang w:val="es-ES" w:eastAsia="es-ES"/>
        </w:rPr>
        <w:t> también ha sido modificado señalando que las notas autorizadas de las sentencias firmes en las que se imponga alguna pena o medida de seguridad por delito y los autos en que se declare la rebeldía de los procesados deberán ser remitidos por los tribunales:</w:t>
      </w:r>
    </w:p>
    <w:p w14:paraId="32BBFDD6" w14:textId="77777777" w:rsidR="002C1788" w:rsidRPr="002C1788" w:rsidRDefault="002C1788" w:rsidP="002C1788">
      <w:pPr>
        <w:numPr>
          <w:ilvl w:val="0"/>
          <w:numId w:val="2"/>
        </w:numPr>
        <w:shd w:val="clear" w:color="auto" w:fill="FFFFFF"/>
        <w:spacing w:line="375" w:lineRule="atLeast"/>
        <w:rPr>
          <w:rFonts w:eastAsia="Times New Roman"/>
          <w:color w:val="202020"/>
          <w:lang w:val="es-ES" w:eastAsia="es-ES"/>
        </w:rPr>
      </w:pPr>
      <w:r w:rsidRPr="002C1788">
        <w:rPr>
          <w:rFonts w:eastAsia="Times New Roman"/>
          <w:color w:val="202020"/>
          <w:lang w:val="es-ES" w:eastAsia="es-ES"/>
        </w:rPr>
        <w:t>Al Registro Central de Penados.</w:t>
      </w:r>
    </w:p>
    <w:p w14:paraId="7105D447" w14:textId="77777777" w:rsidR="002C1788" w:rsidRPr="002C1788" w:rsidRDefault="002C1788" w:rsidP="002C1788">
      <w:pPr>
        <w:numPr>
          <w:ilvl w:val="0"/>
          <w:numId w:val="2"/>
        </w:numPr>
        <w:shd w:val="clear" w:color="auto" w:fill="FFFFFF"/>
        <w:spacing w:after="150" w:line="375" w:lineRule="atLeast"/>
        <w:rPr>
          <w:rFonts w:eastAsia="Times New Roman"/>
          <w:color w:val="202020"/>
          <w:lang w:val="es-ES" w:eastAsia="es-ES"/>
        </w:rPr>
      </w:pPr>
      <w:r w:rsidRPr="002C1788">
        <w:rPr>
          <w:rFonts w:eastAsia="Times New Roman"/>
          <w:color w:val="202020"/>
          <w:lang w:val="es-ES" w:eastAsia="es-ES"/>
        </w:rPr>
        <w:t>Al Registro Central de Medidas Cautelares, Requisitorias y Sentencias no Firmes.</w:t>
      </w:r>
    </w:p>
    <w:p w14:paraId="07ADAA52" w14:textId="77777777" w:rsidR="002C1788" w:rsidRPr="002C1788" w:rsidRDefault="002C1788" w:rsidP="002C1788">
      <w:pPr>
        <w:numPr>
          <w:ilvl w:val="0"/>
          <w:numId w:val="2"/>
        </w:numPr>
        <w:shd w:val="clear" w:color="auto" w:fill="FFFFFF"/>
        <w:spacing w:after="150" w:line="375" w:lineRule="atLeast"/>
        <w:rPr>
          <w:rFonts w:eastAsia="Times New Roman"/>
          <w:color w:val="202020"/>
          <w:lang w:val="es-ES" w:eastAsia="es-ES"/>
        </w:rPr>
      </w:pPr>
      <w:r w:rsidRPr="002C1788">
        <w:rPr>
          <w:rFonts w:eastAsia="Times New Roman"/>
          <w:color w:val="202020"/>
          <w:lang w:val="es-ES" w:eastAsia="es-ES"/>
        </w:rPr>
        <w:t>Al Registro Central para la Protección de las Víctimas de la Violencia Doméstica y de Género.</w:t>
      </w:r>
    </w:p>
    <w:p w14:paraId="2C6BCF73" w14:textId="77777777"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color w:val="202020"/>
          <w:lang w:val="es-ES" w:eastAsia="es-ES"/>
        </w:rPr>
        <w:lastRenderedPageBreak/>
        <w:t>Además, dispone también que, en los </w:t>
      </w:r>
      <w:r w:rsidRPr="002C1788">
        <w:rPr>
          <w:rFonts w:eastAsia="Times New Roman"/>
          <w:b/>
          <w:bCs/>
          <w:color w:val="202020"/>
          <w:lang w:val="es-ES" w:eastAsia="es-ES"/>
        </w:rPr>
        <w:t>procedimientos iniciados a instancia del interesado para cancelar los antecedentes penales</w:t>
      </w:r>
      <w:r w:rsidRPr="002C1788">
        <w:rPr>
          <w:rFonts w:eastAsia="Times New Roman"/>
          <w:color w:val="202020"/>
          <w:lang w:val="es-ES" w:eastAsia="es-ES"/>
        </w:rPr>
        <w:t> en el Registro Central de Penados, </w:t>
      </w:r>
      <w:r w:rsidRPr="002C1788">
        <w:rPr>
          <w:rFonts w:eastAsia="Times New Roman"/>
          <w:b/>
          <w:bCs/>
          <w:color w:val="202020"/>
          <w:lang w:val="es-ES" w:eastAsia="es-ES"/>
        </w:rPr>
        <w:t>si transcurre el plazo máximo sin resolución expresa, se entenderá que la solicitud ha sido desestimada</w:t>
      </w:r>
      <w:r w:rsidRPr="002C1788">
        <w:rPr>
          <w:rFonts w:eastAsia="Times New Roman"/>
          <w:color w:val="202020"/>
          <w:lang w:val="es-ES" w:eastAsia="es-ES"/>
        </w:rPr>
        <w:t>.</w:t>
      </w:r>
    </w:p>
    <w:p w14:paraId="3F024971" w14:textId="77777777"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b/>
          <w:bCs/>
          <w:color w:val="202020"/>
          <w:lang w:val="es-ES" w:eastAsia="es-ES"/>
        </w:rPr>
        <w:t>Creación del art. 258 bis de la </w:t>
      </w:r>
      <w:hyperlink r:id="rId11" w:tgtFrame="_blank" w:history="1">
        <w:r w:rsidRPr="002C1788">
          <w:rPr>
            <w:rFonts w:eastAsia="Times New Roman"/>
            <w:color w:val="2E6D9D"/>
            <w:lang w:val="es-ES" w:eastAsia="es-ES"/>
          </w:rPr>
          <w:t>LECrim</w:t>
        </w:r>
      </w:hyperlink>
    </w:p>
    <w:p w14:paraId="55C845A6" w14:textId="77777777"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color w:val="202020"/>
          <w:lang w:val="es-ES" w:eastAsia="es-ES"/>
        </w:rPr>
        <w:t>Una de las principales novedades en la ley procesal penal es la creación, en el libro I, de un título XIV, con el título: «</w:t>
      </w:r>
      <w:r w:rsidRPr="002C1788">
        <w:rPr>
          <w:rFonts w:eastAsia="Times New Roman"/>
          <w:i/>
          <w:iCs/>
          <w:color w:val="202020"/>
          <w:lang w:val="es-ES" w:eastAsia="es-ES"/>
        </w:rPr>
        <w:t>De los actos procesales mediante presencia telemática</w:t>
      </w:r>
      <w:r w:rsidRPr="002C1788">
        <w:rPr>
          <w:rFonts w:eastAsia="Times New Roman"/>
          <w:color w:val="202020"/>
          <w:lang w:val="es-ES" w:eastAsia="es-ES"/>
        </w:rPr>
        <w:t>». Este título estaría compuesto únicamente por el art. 258 bis, de nueva creación, que regula la celebración de los actos procesales mediante presencia telemática.</w:t>
      </w:r>
    </w:p>
    <w:p w14:paraId="7F24C3B9"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color w:val="202020"/>
          <w:lang w:val="es-ES" w:eastAsia="es-ES"/>
        </w:rPr>
        <w:t>Con esta modificación trata de darse </w:t>
      </w:r>
      <w:r w:rsidRPr="002C1788">
        <w:rPr>
          <w:rFonts w:eastAsia="Times New Roman"/>
          <w:b/>
          <w:bCs/>
          <w:color w:val="202020"/>
          <w:lang w:val="es-ES" w:eastAsia="es-ES"/>
        </w:rPr>
        <w:t>preferencia a la presencia telemática</w:t>
      </w:r>
      <w:r w:rsidRPr="002C1788">
        <w:rPr>
          <w:rFonts w:eastAsia="Times New Roman"/>
          <w:color w:val="202020"/>
          <w:lang w:val="es-ES" w:eastAsia="es-ES"/>
        </w:rPr>
        <w:t> en los actos de juicio, vistas, audiencias, comparecencias, declaraciones y, en general, todas las actuaciones procesales, dejando a salvo la potestad del juez, jueza o tribunal de disponer otra cosa. Ya en las citaciones que se realicen, deberá informarse de la posibilidad de declarar de forma telemática.</w:t>
      </w:r>
    </w:p>
    <w:p w14:paraId="407588EB"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color w:val="202020"/>
          <w:lang w:val="es-ES" w:eastAsia="es-ES"/>
        </w:rPr>
        <w:t>Se establecen situaciones distintas en función de los distintos delitos:</w:t>
      </w:r>
    </w:p>
    <w:p w14:paraId="78126AD2" w14:textId="77777777" w:rsidR="002C1788" w:rsidRPr="002C1788" w:rsidRDefault="002C1788" w:rsidP="002C1788">
      <w:pPr>
        <w:numPr>
          <w:ilvl w:val="0"/>
          <w:numId w:val="3"/>
        </w:numPr>
        <w:shd w:val="clear" w:color="auto" w:fill="FFFFFF"/>
        <w:spacing w:line="375" w:lineRule="atLeast"/>
        <w:rPr>
          <w:rFonts w:eastAsia="Times New Roman"/>
          <w:color w:val="202020"/>
          <w:lang w:val="es-ES" w:eastAsia="es-ES"/>
        </w:rPr>
      </w:pPr>
      <w:r w:rsidRPr="002C1788">
        <w:rPr>
          <w:rFonts w:eastAsia="Times New Roman"/>
          <w:color w:val="202020"/>
          <w:lang w:val="es-ES" w:eastAsia="es-ES"/>
        </w:rPr>
        <w:t>En los juicios por delito grave y los juicios de Tribunal de Jurado: se requiere la presencia física del acusado.</w:t>
      </w:r>
    </w:p>
    <w:p w14:paraId="7598F71E" w14:textId="77777777" w:rsidR="002C1788" w:rsidRDefault="002C1788" w:rsidP="002C1788">
      <w:pPr>
        <w:numPr>
          <w:ilvl w:val="0"/>
          <w:numId w:val="3"/>
        </w:numPr>
        <w:shd w:val="clear" w:color="auto" w:fill="FFFFFF"/>
        <w:spacing w:line="375" w:lineRule="atLeast"/>
        <w:rPr>
          <w:rFonts w:eastAsia="Times New Roman"/>
          <w:color w:val="202020"/>
          <w:lang w:val="es-ES" w:eastAsia="es-ES"/>
        </w:rPr>
      </w:pPr>
      <w:r w:rsidRPr="002C1788">
        <w:rPr>
          <w:rFonts w:eastAsia="Times New Roman"/>
          <w:color w:val="202020"/>
          <w:lang w:val="es-ES" w:eastAsia="es-ES"/>
        </w:rPr>
        <w:t>En los juicios por delito menos grave si la pena excede de dos años de prisión, o de seis en caso de penas de distinta naturaleza, y en el resto de los delitos, el acusado comparecerá físicamente si así lo solicita él o su letrado, o si el órgano judicial lo considera necesario.</w:t>
      </w:r>
    </w:p>
    <w:p w14:paraId="0C14C55E" w14:textId="77777777" w:rsidR="002C1788" w:rsidRPr="002C1788" w:rsidRDefault="002C1788" w:rsidP="002C1788">
      <w:pPr>
        <w:shd w:val="clear" w:color="auto" w:fill="FFFFFF"/>
        <w:spacing w:line="375" w:lineRule="atLeast"/>
        <w:ind w:left="720"/>
        <w:rPr>
          <w:rFonts w:eastAsia="Times New Roman"/>
          <w:color w:val="202020"/>
          <w:lang w:val="es-ES" w:eastAsia="es-ES"/>
        </w:rPr>
      </w:pPr>
    </w:p>
    <w:p w14:paraId="084D2B6B" w14:textId="77777777"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color w:val="202020"/>
          <w:lang w:val="es-ES" w:eastAsia="es-ES"/>
        </w:rPr>
        <w:t>También se establece que </w:t>
      </w:r>
      <w:r w:rsidRPr="002C1788">
        <w:rPr>
          <w:rFonts w:eastAsia="Times New Roman"/>
          <w:b/>
          <w:bCs/>
          <w:color w:val="202020"/>
          <w:lang w:val="es-ES" w:eastAsia="es-ES"/>
        </w:rPr>
        <w:t>el acusado debe comparecer en juicio de manera física cuando resida en la misma demarcación del órgano judicial</w:t>
      </w:r>
      <w:r w:rsidRPr="002C1788">
        <w:rPr>
          <w:rFonts w:eastAsia="Times New Roman"/>
          <w:color w:val="202020"/>
          <w:lang w:val="es-ES" w:eastAsia="es-ES"/>
        </w:rPr>
        <w:t>, salvo que concurran causas justificadas o de fuerza mayor.</w:t>
      </w:r>
    </w:p>
    <w:p w14:paraId="1387628B" w14:textId="77777777" w:rsidR="002C1788" w:rsidRPr="002C1788" w:rsidRDefault="002C1788" w:rsidP="002C1788">
      <w:pPr>
        <w:shd w:val="clear" w:color="auto" w:fill="FFFFFF"/>
        <w:spacing w:after="300"/>
        <w:ind w:left="600"/>
        <w:rPr>
          <w:rFonts w:eastAsia="Times New Roman"/>
          <w:color w:val="202020"/>
          <w:lang w:val="es-ES" w:eastAsia="es-ES"/>
        </w:rPr>
      </w:pPr>
      <w:r w:rsidRPr="002C1788">
        <w:rPr>
          <w:rFonts w:eastAsia="Times New Roman"/>
          <w:b/>
          <w:bCs/>
          <w:color w:val="800000"/>
          <w:lang w:val="es-ES" w:eastAsia="es-ES"/>
        </w:rPr>
        <w:t>CUESTIÓN</w:t>
      </w:r>
    </w:p>
    <w:p w14:paraId="4BDC2A97" w14:textId="77777777" w:rsidR="002C1788" w:rsidRPr="002C1788" w:rsidRDefault="002C1788" w:rsidP="002C1788">
      <w:pPr>
        <w:shd w:val="clear" w:color="auto" w:fill="FFFFFF"/>
        <w:spacing w:after="300"/>
        <w:ind w:left="600"/>
        <w:rPr>
          <w:rFonts w:eastAsia="Times New Roman"/>
          <w:color w:val="202020"/>
          <w:lang w:val="es-ES" w:eastAsia="es-ES"/>
        </w:rPr>
      </w:pPr>
      <w:r w:rsidRPr="002C1788">
        <w:rPr>
          <w:rFonts w:eastAsia="Times New Roman"/>
          <w:b/>
          <w:bCs/>
          <w:color w:val="202020"/>
          <w:lang w:val="es-ES" w:eastAsia="es-ES"/>
        </w:rPr>
        <w:t>Cuando se dispone la presencia física del investigado o acusado, ¿debe comparecer físicamente su defensa letrada?</w:t>
      </w:r>
    </w:p>
    <w:p w14:paraId="585AB041" w14:textId="77777777" w:rsidR="002C1788" w:rsidRPr="002C1788" w:rsidRDefault="002C1788" w:rsidP="002C1788">
      <w:pPr>
        <w:shd w:val="clear" w:color="auto" w:fill="FFFFFF"/>
        <w:spacing w:after="300"/>
        <w:ind w:left="600"/>
        <w:rPr>
          <w:rFonts w:eastAsia="Times New Roman"/>
          <w:color w:val="202020"/>
          <w:lang w:val="es-ES" w:eastAsia="es-ES"/>
        </w:rPr>
      </w:pPr>
      <w:r w:rsidRPr="002C1788">
        <w:rPr>
          <w:rFonts w:eastAsia="Times New Roman"/>
          <w:color w:val="202020"/>
          <w:lang w:val="es-ES" w:eastAsia="es-ES"/>
        </w:rPr>
        <w:t>Sí, se establece que en estos casos también será necesaria la presencia física de su defensa letrada. Añadiendo que cuando declare telemáticamente el acusado o investigado, su abogado comparecerá junto con este o en la sede del órgano judicial.</w:t>
      </w:r>
    </w:p>
    <w:p w14:paraId="2A289FCE" w14:textId="77777777"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color w:val="202020"/>
          <w:lang w:val="es-ES" w:eastAsia="es-ES"/>
        </w:rPr>
        <w:t>Si el acusado decide no comparecer en la sede del órgano judicial, deberá notificarlo con un mínimo de 5 días de antelación.</w:t>
      </w:r>
    </w:p>
    <w:p w14:paraId="738774C7" w14:textId="77777777"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color w:val="202020"/>
          <w:lang w:val="es-ES" w:eastAsia="es-ES"/>
        </w:rPr>
        <w:t>El apartado tercero del nuevo art. 258.bis recalca la importancia de garantizar las declaraciones o interrogatorios de forma telemática en los siguientes casos:</w:t>
      </w:r>
    </w:p>
    <w:p w14:paraId="2E97F96B" w14:textId="77777777" w:rsidR="002C1788" w:rsidRPr="002C1788" w:rsidRDefault="002C1788" w:rsidP="002C1788">
      <w:pPr>
        <w:numPr>
          <w:ilvl w:val="0"/>
          <w:numId w:val="4"/>
        </w:numPr>
        <w:shd w:val="clear" w:color="auto" w:fill="FFFFFF"/>
        <w:spacing w:line="375" w:lineRule="atLeast"/>
        <w:ind w:left="714" w:hanging="357"/>
        <w:rPr>
          <w:rFonts w:eastAsia="Times New Roman"/>
          <w:color w:val="202020"/>
          <w:lang w:val="es-ES" w:eastAsia="es-ES"/>
        </w:rPr>
      </w:pPr>
      <w:r w:rsidRPr="002C1788">
        <w:rPr>
          <w:rFonts w:eastAsia="Times New Roman"/>
          <w:color w:val="202020"/>
          <w:lang w:val="es-ES" w:eastAsia="es-ES"/>
        </w:rPr>
        <w:t>Cuando se trate de víctimas de violencia de género, de violencia sexual, de trata de seres humanos o cuando sean víctimas menores de edad o con discapacidad. </w:t>
      </w:r>
    </w:p>
    <w:p w14:paraId="174852EB" w14:textId="77777777" w:rsidR="002C1788" w:rsidRDefault="002C1788" w:rsidP="002C1788">
      <w:pPr>
        <w:numPr>
          <w:ilvl w:val="0"/>
          <w:numId w:val="4"/>
        </w:numPr>
        <w:shd w:val="clear" w:color="auto" w:fill="FFFFFF"/>
        <w:spacing w:line="375" w:lineRule="atLeast"/>
        <w:ind w:left="714" w:hanging="357"/>
        <w:rPr>
          <w:rFonts w:eastAsia="Times New Roman"/>
          <w:color w:val="202020"/>
          <w:lang w:val="es-ES" w:eastAsia="es-ES"/>
        </w:rPr>
      </w:pPr>
      <w:r w:rsidRPr="002C1788">
        <w:rPr>
          <w:rFonts w:eastAsia="Times New Roman"/>
          <w:color w:val="202020"/>
          <w:lang w:val="es-ES" w:eastAsia="es-ES"/>
        </w:rPr>
        <w:t>Cuando el testigo o perito comparezca en su condición de Autoridad o funcionario público.</w:t>
      </w:r>
    </w:p>
    <w:p w14:paraId="4D174BC5" w14:textId="77777777" w:rsidR="002C1788" w:rsidRPr="002C1788" w:rsidRDefault="002C1788" w:rsidP="002C1788">
      <w:pPr>
        <w:shd w:val="clear" w:color="auto" w:fill="FFFFFF"/>
        <w:spacing w:line="375" w:lineRule="atLeast"/>
        <w:ind w:left="714"/>
        <w:rPr>
          <w:rFonts w:eastAsia="Times New Roman"/>
          <w:color w:val="202020"/>
          <w:lang w:val="es-ES" w:eastAsia="es-ES"/>
        </w:rPr>
      </w:pPr>
    </w:p>
    <w:p w14:paraId="4CA1BB11" w14:textId="77777777"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b/>
          <w:bCs/>
          <w:color w:val="202020"/>
          <w:lang w:val="es-ES" w:eastAsia="es-ES"/>
        </w:rPr>
        <w:t>Modificación de los arts. 265 y 266 de la </w:t>
      </w:r>
      <w:hyperlink r:id="rId12" w:tgtFrame="_blank" w:history="1">
        <w:r w:rsidRPr="002C1788">
          <w:rPr>
            <w:rFonts w:eastAsia="Times New Roman"/>
            <w:color w:val="2E6D9D"/>
            <w:lang w:val="es-ES" w:eastAsia="es-ES"/>
          </w:rPr>
          <w:t>LECrim</w:t>
        </w:r>
      </w:hyperlink>
      <w:r w:rsidRPr="002C1788">
        <w:rPr>
          <w:rFonts w:eastAsia="Times New Roman"/>
          <w:b/>
          <w:bCs/>
          <w:color w:val="202020"/>
          <w:lang w:val="es-ES" w:eastAsia="es-ES"/>
        </w:rPr>
        <w:t> (sobre la denuncia)</w:t>
      </w:r>
    </w:p>
    <w:p w14:paraId="73924FC4" w14:textId="77777777"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color w:val="202020"/>
          <w:lang w:val="es-ES" w:eastAsia="es-ES"/>
        </w:rPr>
        <w:t>Otro artículo que ha sufrido importantes modificaciones es el art. 265 de la </w:t>
      </w:r>
      <w:hyperlink r:id="rId13" w:tgtFrame="_blank" w:history="1">
        <w:r w:rsidRPr="002C1788">
          <w:rPr>
            <w:rFonts w:eastAsia="Times New Roman"/>
            <w:color w:val="2E6D9D"/>
            <w:lang w:val="es-ES" w:eastAsia="es-ES"/>
          </w:rPr>
          <w:t>LECrim</w:t>
        </w:r>
      </w:hyperlink>
      <w:r w:rsidRPr="002C1788">
        <w:rPr>
          <w:rFonts w:eastAsia="Times New Roman"/>
          <w:color w:val="202020"/>
          <w:lang w:val="es-ES" w:eastAsia="es-ES"/>
        </w:rPr>
        <w:t>, que introduce una regulación del contenido mínimo que debe de contener la denuncia, y que será el siguiente:</w:t>
      </w:r>
    </w:p>
    <w:p w14:paraId="4F0B152D" w14:textId="77777777" w:rsidR="002C1788" w:rsidRPr="002C1788" w:rsidRDefault="002C1788" w:rsidP="002C1788">
      <w:pPr>
        <w:numPr>
          <w:ilvl w:val="0"/>
          <w:numId w:val="5"/>
        </w:numPr>
        <w:shd w:val="clear" w:color="auto" w:fill="FFFFFF"/>
        <w:spacing w:after="150" w:line="375" w:lineRule="atLeast"/>
        <w:rPr>
          <w:rFonts w:eastAsia="Times New Roman"/>
          <w:color w:val="202020"/>
          <w:lang w:val="es-ES" w:eastAsia="es-ES"/>
        </w:rPr>
      </w:pPr>
      <w:r w:rsidRPr="002C1788">
        <w:rPr>
          <w:rFonts w:eastAsia="Times New Roman"/>
          <w:color w:val="202020"/>
          <w:lang w:val="es-ES" w:eastAsia="es-ES"/>
        </w:rPr>
        <w:lastRenderedPageBreak/>
        <w:t>La identificación del denunciante, y si se trata de persona jurídica, o ente sin personalidad, la de la persona física que la realiza en su nombre, y su relación con la misma.</w:t>
      </w:r>
    </w:p>
    <w:p w14:paraId="77384CAA" w14:textId="77777777" w:rsidR="002C1788" w:rsidRPr="002C1788" w:rsidRDefault="002C1788" w:rsidP="002C1788">
      <w:pPr>
        <w:numPr>
          <w:ilvl w:val="0"/>
          <w:numId w:val="5"/>
        </w:numPr>
        <w:shd w:val="clear" w:color="auto" w:fill="FFFFFF"/>
        <w:spacing w:after="150" w:line="375" w:lineRule="atLeast"/>
        <w:rPr>
          <w:rFonts w:eastAsia="Times New Roman"/>
          <w:color w:val="202020"/>
          <w:lang w:val="es-ES" w:eastAsia="es-ES"/>
        </w:rPr>
      </w:pPr>
      <w:r w:rsidRPr="002C1788">
        <w:rPr>
          <w:rFonts w:eastAsia="Times New Roman"/>
          <w:color w:val="202020"/>
          <w:lang w:val="es-ES" w:eastAsia="es-ES"/>
        </w:rPr>
        <w:t>La narración circunstanciada del hecho.</w:t>
      </w:r>
    </w:p>
    <w:p w14:paraId="45E2167C" w14:textId="77777777" w:rsidR="002C1788" w:rsidRPr="002C1788" w:rsidRDefault="002C1788" w:rsidP="002C1788">
      <w:pPr>
        <w:numPr>
          <w:ilvl w:val="0"/>
          <w:numId w:val="5"/>
        </w:numPr>
        <w:shd w:val="clear" w:color="auto" w:fill="FFFFFF"/>
        <w:spacing w:after="150" w:line="375" w:lineRule="atLeast"/>
        <w:rPr>
          <w:rFonts w:eastAsia="Times New Roman"/>
          <w:color w:val="202020"/>
          <w:lang w:val="es-ES" w:eastAsia="es-ES"/>
        </w:rPr>
      </w:pPr>
      <w:r w:rsidRPr="002C1788">
        <w:rPr>
          <w:rFonts w:eastAsia="Times New Roman"/>
          <w:color w:val="202020"/>
          <w:lang w:val="es-ES" w:eastAsia="es-ES"/>
        </w:rPr>
        <w:t>La identificación de las personas que hayan cometido los hechos, si las conociese.</w:t>
      </w:r>
    </w:p>
    <w:p w14:paraId="0D856F49" w14:textId="77777777" w:rsidR="002C1788" w:rsidRPr="002C1788" w:rsidRDefault="002C1788" w:rsidP="002C1788">
      <w:pPr>
        <w:numPr>
          <w:ilvl w:val="0"/>
          <w:numId w:val="5"/>
        </w:numPr>
        <w:shd w:val="clear" w:color="auto" w:fill="FFFFFF"/>
        <w:spacing w:after="150" w:line="375" w:lineRule="atLeast"/>
        <w:rPr>
          <w:rFonts w:eastAsia="Times New Roman"/>
          <w:color w:val="202020"/>
          <w:lang w:val="es-ES" w:eastAsia="es-ES"/>
        </w:rPr>
      </w:pPr>
      <w:r w:rsidRPr="002C1788">
        <w:rPr>
          <w:rFonts w:eastAsia="Times New Roman"/>
          <w:color w:val="202020"/>
          <w:lang w:val="es-ES" w:eastAsia="es-ES"/>
        </w:rPr>
        <w:t>La identificación, en su caso, de quienes lo hayan presenciado o tengan información sobre él.</w:t>
      </w:r>
    </w:p>
    <w:p w14:paraId="530B0DFF" w14:textId="77777777" w:rsidR="002C1788" w:rsidRPr="002C1788" w:rsidRDefault="002C1788" w:rsidP="002C1788">
      <w:pPr>
        <w:numPr>
          <w:ilvl w:val="0"/>
          <w:numId w:val="5"/>
        </w:numPr>
        <w:shd w:val="clear" w:color="auto" w:fill="FFFFFF"/>
        <w:spacing w:after="150" w:line="375" w:lineRule="atLeast"/>
        <w:rPr>
          <w:rFonts w:eastAsia="Times New Roman"/>
          <w:color w:val="202020"/>
          <w:lang w:val="es-ES" w:eastAsia="es-ES"/>
        </w:rPr>
      </w:pPr>
      <w:r w:rsidRPr="002C1788">
        <w:rPr>
          <w:rFonts w:eastAsia="Times New Roman"/>
          <w:color w:val="202020"/>
          <w:lang w:val="es-ES" w:eastAsia="es-ES"/>
        </w:rPr>
        <w:t> Cualquier fuente de conocimiento de la que el denunciante tenga noticia, que pueda servir para esclarecer el hecho denunciado.</w:t>
      </w:r>
    </w:p>
    <w:p w14:paraId="6A24DE9A" w14:textId="77777777"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color w:val="202020"/>
          <w:lang w:val="es-ES" w:eastAsia="es-ES"/>
        </w:rPr>
        <w:t>Por su parte el art. 266 también recoge novedades sobre la firma de la denuncia, introduciendo la posibilidad de utilizar la firma electrónica.</w:t>
      </w:r>
    </w:p>
    <w:p w14:paraId="237CBA86" w14:textId="77777777" w:rsidR="002C1788" w:rsidRPr="002C1788" w:rsidRDefault="002C1788" w:rsidP="002C1788">
      <w:pPr>
        <w:shd w:val="clear" w:color="auto" w:fill="FFFFFF"/>
        <w:spacing w:after="300"/>
        <w:ind w:left="0"/>
        <w:rPr>
          <w:rFonts w:eastAsia="Times New Roman"/>
          <w:color w:val="202020"/>
          <w:lang w:val="es-ES" w:eastAsia="es-ES"/>
        </w:rPr>
      </w:pPr>
      <w:r w:rsidRPr="002C1788">
        <w:rPr>
          <w:rFonts w:eastAsia="Times New Roman"/>
          <w:b/>
          <w:bCs/>
          <w:color w:val="202020"/>
          <w:lang w:val="es-ES" w:eastAsia="es-ES"/>
        </w:rPr>
        <w:t>Modificación de los arts. 512, 514 y 643 de la </w:t>
      </w:r>
      <w:hyperlink r:id="rId14" w:tgtFrame="_blank" w:history="1">
        <w:r w:rsidRPr="002C1788">
          <w:rPr>
            <w:rFonts w:eastAsia="Times New Roman"/>
            <w:color w:val="2E6D9D"/>
            <w:lang w:val="es-ES" w:eastAsia="es-ES"/>
          </w:rPr>
          <w:t>LECrim</w:t>
        </w:r>
      </w:hyperlink>
    </w:p>
    <w:p w14:paraId="030C74D5"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color w:val="202020"/>
          <w:lang w:val="es-ES" w:eastAsia="es-ES"/>
        </w:rPr>
        <w:t xml:space="preserve">La redacción de estos artículos se adapta a las novedades introducidas en la Administración de Justicia en los últimos años, incluyendo referencias al Sistema de Registros Administrativos de Apoyo a la Administración de Justicia (SIRAJ), al Tablón </w:t>
      </w:r>
      <w:proofErr w:type="spellStart"/>
      <w:r w:rsidRPr="002C1788">
        <w:rPr>
          <w:rFonts w:eastAsia="Times New Roman"/>
          <w:color w:val="202020"/>
          <w:lang w:val="es-ES" w:eastAsia="es-ES"/>
        </w:rPr>
        <w:t>Edictal</w:t>
      </w:r>
      <w:proofErr w:type="spellEnd"/>
      <w:r w:rsidRPr="002C1788">
        <w:rPr>
          <w:rFonts w:eastAsia="Times New Roman"/>
          <w:color w:val="202020"/>
          <w:lang w:val="es-ES" w:eastAsia="es-ES"/>
        </w:rPr>
        <w:t xml:space="preserve"> Único, al Sistema de Registros Administrativos de Apoyo a la Administración de Justicia...</w:t>
      </w:r>
    </w:p>
    <w:p w14:paraId="73DEDAF5" w14:textId="77777777" w:rsidR="002C1788" w:rsidRDefault="002C1788" w:rsidP="002C1788">
      <w:pPr>
        <w:shd w:val="clear" w:color="auto" w:fill="FFFFFF"/>
        <w:ind w:left="0"/>
        <w:rPr>
          <w:rFonts w:eastAsia="Times New Roman"/>
          <w:b/>
          <w:bCs/>
          <w:color w:val="202020"/>
          <w:lang w:val="es-ES" w:eastAsia="es-ES"/>
        </w:rPr>
      </w:pPr>
    </w:p>
    <w:p w14:paraId="0FEAD42B" w14:textId="11C2A920" w:rsidR="002C1788" w:rsidRPr="002C1788" w:rsidRDefault="002C1788" w:rsidP="002C1788">
      <w:pPr>
        <w:shd w:val="clear" w:color="auto" w:fill="FFFFFF"/>
        <w:ind w:left="0"/>
        <w:rPr>
          <w:rFonts w:eastAsia="Times New Roman"/>
          <w:color w:val="202020"/>
          <w:lang w:val="es-ES" w:eastAsia="es-ES"/>
        </w:rPr>
      </w:pPr>
      <w:r w:rsidRPr="002C1788">
        <w:rPr>
          <w:rFonts w:eastAsia="Times New Roman"/>
          <w:b/>
          <w:bCs/>
          <w:color w:val="202020"/>
          <w:lang w:val="es-ES" w:eastAsia="es-ES"/>
        </w:rPr>
        <w:t>Modificación del art. 743 de la </w:t>
      </w:r>
      <w:hyperlink r:id="rId15" w:tgtFrame="_blank" w:history="1">
        <w:r w:rsidRPr="002C1788">
          <w:rPr>
            <w:rFonts w:eastAsia="Times New Roman"/>
            <w:color w:val="2E6D9D"/>
            <w:lang w:val="es-ES" w:eastAsia="es-ES"/>
          </w:rPr>
          <w:t>LECrim</w:t>
        </w:r>
      </w:hyperlink>
    </w:p>
    <w:p w14:paraId="3EDA1F5C" w14:textId="77777777" w:rsidR="002C1788" w:rsidRDefault="002C1788" w:rsidP="002C1788">
      <w:pPr>
        <w:shd w:val="clear" w:color="auto" w:fill="FFFFFF"/>
        <w:ind w:left="0"/>
        <w:rPr>
          <w:rFonts w:eastAsia="Times New Roman"/>
          <w:color w:val="202020"/>
          <w:lang w:val="es-ES" w:eastAsia="es-ES"/>
        </w:rPr>
      </w:pPr>
      <w:r w:rsidRPr="002C1788">
        <w:rPr>
          <w:rFonts w:eastAsia="Times New Roman"/>
          <w:color w:val="202020"/>
          <w:lang w:val="es-ES" w:eastAsia="es-ES"/>
        </w:rPr>
        <w:t>En la línea de adaptar la regulación del proceso penal a las nuevas tecnologías, el art. 743 de la </w:t>
      </w:r>
      <w:hyperlink r:id="rId16" w:tgtFrame="_blank" w:history="1">
        <w:r w:rsidRPr="002C1788">
          <w:rPr>
            <w:rFonts w:eastAsia="Times New Roman"/>
            <w:color w:val="2E6D9D"/>
            <w:lang w:val="es-ES" w:eastAsia="es-ES"/>
          </w:rPr>
          <w:t>LECrim</w:t>
        </w:r>
      </w:hyperlink>
      <w:r w:rsidRPr="002C1788">
        <w:rPr>
          <w:rFonts w:eastAsia="Times New Roman"/>
          <w:color w:val="202020"/>
          <w:lang w:val="es-ES" w:eastAsia="es-ES"/>
        </w:rPr>
        <w:t> establece que tanto las sesiones del juicio oral, como el resto de las actuaciones orales, se documentarán conforme a lo dispuesto en los arts. 146 y 147 de la </w:t>
      </w:r>
      <w:hyperlink r:id="rId17" w:tgtFrame="_blank" w:history="1">
        <w:r w:rsidRPr="002C1788">
          <w:rPr>
            <w:rFonts w:eastAsia="Times New Roman"/>
            <w:color w:val="2E6D9D"/>
            <w:lang w:val="es-ES" w:eastAsia="es-ES"/>
          </w:rPr>
          <w:t>LEC</w:t>
        </w:r>
      </w:hyperlink>
      <w:r w:rsidRPr="002C1788">
        <w:rPr>
          <w:rFonts w:eastAsia="Times New Roman"/>
          <w:color w:val="202020"/>
          <w:lang w:val="es-ES" w:eastAsia="es-ES"/>
        </w:rPr>
        <w:t> (que regulan la documentación de las actuaciones, y la documentación de las actuaciones mediante sistemas de grabación y reproducción de la imagen y el sonido respectivamente). Además de incluir específicamente la obligación de </w:t>
      </w:r>
      <w:r w:rsidRPr="002C1788">
        <w:rPr>
          <w:rFonts w:eastAsia="Times New Roman"/>
          <w:b/>
          <w:bCs/>
          <w:color w:val="202020"/>
          <w:lang w:val="es-ES" w:eastAsia="es-ES"/>
        </w:rPr>
        <w:t>incluir la grabación al expediente judicial electrónico</w:t>
      </w:r>
      <w:r w:rsidRPr="002C1788">
        <w:rPr>
          <w:rFonts w:eastAsia="Times New Roman"/>
          <w:color w:val="202020"/>
          <w:lang w:val="es-ES" w:eastAsia="es-ES"/>
        </w:rPr>
        <w:t> cuando fuese posible.</w:t>
      </w:r>
    </w:p>
    <w:p w14:paraId="021460A2" w14:textId="77777777" w:rsidR="002C1788" w:rsidRPr="002C1788" w:rsidRDefault="002C1788" w:rsidP="002C1788">
      <w:pPr>
        <w:shd w:val="clear" w:color="auto" w:fill="FFFFFF"/>
        <w:ind w:left="0"/>
        <w:rPr>
          <w:rFonts w:eastAsia="Times New Roman"/>
          <w:color w:val="202020"/>
          <w:lang w:val="es-ES" w:eastAsia="es-ES"/>
        </w:rPr>
      </w:pPr>
    </w:p>
    <w:p w14:paraId="50F1DD92"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b/>
          <w:bCs/>
          <w:color w:val="202020"/>
          <w:lang w:val="es-ES" w:eastAsia="es-ES"/>
        </w:rPr>
        <w:t>Modificación del art. 954 de la </w:t>
      </w:r>
      <w:hyperlink r:id="rId18" w:tgtFrame="_blank" w:history="1">
        <w:r w:rsidRPr="002C1788">
          <w:rPr>
            <w:rFonts w:eastAsia="Times New Roman"/>
            <w:color w:val="2E6D9D"/>
            <w:lang w:val="es-ES" w:eastAsia="es-ES"/>
          </w:rPr>
          <w:t>LECrim</w:t>
        </w:r>
      </w:hyperlink>
    </w:p>
    <w:p w14:paraId="69CDF903" w14:textId="77777777" w:rsidR="002C1788" w:rsidRPr="002C1788" w:rsidRDefault="002C1788" w:rsidP="002C1788">
      <w:pPr>
        <w:shd w:val="clear" w:color="auto" w:fill="FFFFFF"/>
        <w:ind w:left="0"/>
        <w:rPr>
          <w:rFonts w:eastAsia="Times New Roman"/>
          <w:color w:val="202020"/>
          <w:lang w:val="es-ES" w:eastAsia="es-ES"/>
        </w:rPr>
      </w:pPr>
      <w:r w:rsidRPr="002C1788">
        <w:rPr>
          <w:rFonts w:eastAsia="Times New Roman"/>
          <w:color w:val="202020"/>
          <w:lang w:val="es-ES" w:eastAsia="es-ES"/>
        </w:rPr>
        <w:t>La última de las modificaciones que afectan a la </w:t>
      </w:r>
      <w:hyperlink r:id="rId19" w:tgtFrame="_blank" w:history="1">
        <w:r w:rsidRPr="002C1788">
          <w:rPr>
            <w:rFonts w:eastAsia="Times New Roman"/>
            <w:color w:val="2E6D9D"/>
            <w:lang w:val="es-ES" w:eastAsia="es-ES"/>
          </w:rPr>
          <w:t>LECrim</w:t>
        </w:r>
      </w:hyperlink>
      <w:r w:rsidRPr="002C1788">
        <w:rPr>
          <w:rFonts w:eastAsia="Times New Roman"/>
          <w:color w:val="202020"/>
          <w:lang w:val="es-ES" w:eastAsia="es-ES"/>
        </w:rPr>
        <w:t>, es la que reforma el apartado tercero del art. 954, con relación al </w:t>
      </w:r>
      <w:r w:rsidRPr="002C1788">
        <w:rPr>
          <w:rFonts w:eastAsia="Times New Roman"/>
          <w:b/>
          <w:bCs/>
          <w:color w:val="202020"/>
          <w:lang w:val="es-ES" w:eastAsia="es-ES"/>
        </w:rPr>
        <w:t>recurso de revisión </w:t>
      </w:r>
      <w:r w:rsidRPr="002C1788">
        <w:rPr>
          <w:rFonts w:eastAsia="Times New Roman"/>
          <w:color w:val="202020"/>
          <w:lang w:val="es-ES" w:eastAsia="es-ES"/>
        </w:rPr>
        <w:t>por haber decretado el Tribunal Europeo de Derechos Humanos resolución declarando la violación de alguno de los derechos reconocidos en el Convenio Europeo para la protección de los Derechos Humanos y libertades fundamentales, limitando la legitimación para presentarlo a quién haya sido demandante ante el Tribunal Europeo de Derechos Humanos, y fijando un plazo de un año desde la firmeza de la sentencia.</w:t>
      </w:r>
    </w:p>
    <w:p w14:paraId="1DD6D32A" w14:textId="77777777" w:rsidR="002C1788" w:rsidRPr="002C1788" w:rsidRDefault="002C1788" w:rsidP="002C1788">
      <w:pPr>
        <w:shd w:val="clear" w:color="auto" w:fill="FFFFFF"/>
        <w:ind w:left="0"/>
        <w:rPr>
          <w:rFonts w:eastAsia="Times New Roman"/>
          <w:color w:val="202020"/>
          <w:lang w:val="es-ES" w:eastAsia="es-ES"/>
        </w:rPr>
      </w:pPr>
      <w:proofErr w:type="gramStart"/>
      <w:r w:rsidRPr="002C1788">
        <w:rPr>
          <w:rFonts w:eastAsia="Times New Roman"/>
          <w:color w:val="202020"/>
          <w:lang w:val="es-ES" w:eastAsia="es-ES"/>
        </w:rPr>
        <w:t>Además</w:t>
      </w:r>
      <w:proofErr w:type="gramEnd"/>
      <w:r w:rsidRPr="002C1788">
        <w:rPr>
          <w:rFonts w:eastAsia="Times New Roman"/>
          <w:color w:val="202020"/>
          <w:lang w:val="es-ES" w:eastAsia="es-ES"/>
        </w:rPr>
        <w:t xml:space="preserve"> se introduce también la obligación del letrado o letrada de la Administración de Justicia de comunicar a la Abogacía  General del Estado en determinados supuestos, para que esta pueda intervenir, sin tener la condición de parte.</w:t>
      </w:r>
    </w:p>
    <w:p w14:paraId="3EAC5AE9" w14:textId="77777777" w:rsidR="002C1788" w:rsidRDefault="002C1788" w:rsidP="002C1788">
      <w:pPr>
        <w:shd w:val="clear" w:color="auto" w:fill="FFFFFF"/>
        <w:ind w:left="600"/>
        <w:rPr>
          <w:rFonts w:eastAsia="Times New Roman"/>
          <w:b/>
          <w:bCs/>
          <w:color w:val="202020"/>
          <w:lang w:val="es-ES" w:eastAsia="es-ES"/>
        </w:rPr>
      </w:pPr>
    </w:p>
    <w:p w14:paraId="556FBB63" w14:textId="62CBC75E" w:rsidR="002C1788" w:rsidRPr="002C1788" w:rsidRDefault="002C1788" w:rsidP="002C1788">
      <w:pPr>
        <w:shd w:val="clear" w:color="auto" w:fill="FFFFFF"/>
        <w:ind w:left="600"/>
        <w:rPr>
          <w:rFonts w:eastAsia="Times New Roman"/>
          <w:color w:val="202020"/>
          <w:lang w:val="es-ES" w:eastAsia="es-ES"/>
        </w:rPr>
      </w:pPr>
      <w:r w:rsidRPr="002C1788">
        <w:rPr>
          <w:rFonts w:eastAsia="Times New Roman"/>
          <w:b/>
          <w:bCs/>
          <w:color w:val="202020"/>
          <w:lang w:val="es-ES" w:eastAsia="es-ES"/>
        </w:rPr>
        <w:t>A TENER EN CUENTA.</w:t>
      </w:r>
      <w:r w:rsidRPr="002C1788">
        <w:rPr>
          <w:rFonts w:eastAsia="Times New Roman"/>
          <w:color w:val="202020"/>
          <w:lang w:val="es-ES" w:eastAsia="es-ES"/>
        </w:rPr>
        <w:t> Estas modificaciones entrarán en vigor a los 3 meses de su publicación en el BOE, esto es, el 20 de marzo de 2024.</w:t>
      </w:r>
    </w:p>
    <w:p w14:paraId="7DABDC25" w14:textId="77777777" w:rsidR="005E14F6" w:rsidRPr="002C1788" w:rsidRDefault="005E14F6" w:rsidP="002C1788"/>
    <w:sectPr w:rsidR="005E14F6" w:rsidRPr="002C17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656"/>
    <w:multiLevelType w:val="multilevel"/>
    <w:tmpl w:val="5DD4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F0BD6"/>
    <w:multiLevelType w:val="multilevel"/>
    <w:tmpl w:val="6AC2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B1D0C"/>
    <w:multiLevelType w:val="multilevel"/>
    <w:tmpl w:val="35EC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232F2"/>
    <w:multiLevelType w:val="multilevel"/>
    <w:tmpl w:val="6B72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F278F"/>
    <w:multiLevelType w:val="multilevel"/>
    <w:tmpl w:val="B4B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067286">
    <w:abstractNumId w:val="3"/>
  </w:num>
  <w:num w:numId="2" w16cid:durableId="1343700099">
    <w:abstractNumId w:val="0"/>
  </w:num>
  <w:num w:numId="3" w16cid:durableId="1057167777">
    <w:abstractNumId w:val="1"/>
  </w:num>
  <w:num w:numId="4" w16cid:durableId="1778987981">
    <w:abstractNumId w:val="2"/>
  </w:num>
  <w:num w:numId="5" w16cid:durableId="1912766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88"/>
    <w:rsid w:val="002C1788"/>
    <w:rsid w:val="005E14F6"/>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E576"/>
  <w15:chartTrackingRefBased/>
  <w15:docId w15:val="{2D99C484-CD92-43BF-AC0A-AC98856C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9"/>
        <w:szCs w:val="19"/>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paragraph" w:styleId="Ttulo3">
    <w:name w:val="heading 3"/>
    <w:basedOn w:val="Normal"/>
    <w:link w:val="Ttulo3Car"/>
    <w:uiPriority w:val="9"/>
    <w:qFormat/>
    <w:rsid w:val="002C1788"/>
    <w:pPr>
      <w:spacing w:before="100" w:beforeAutospacing="1" w:after="100"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C178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2C1788"/>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2C1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6248">
      <w:bodyDiv w:val="1"/>
      <w:marLeft w:val="0"/>
      <w:marRight w:val="0"/>
      <w:marTop w:val="0"/>
      <w:marBottom w:val="0"/>
      <w:divBdr>
        <w:top w:val="none" w:sz="0" w:space="0" w:color="auto"/>
        <w:left w:val="none" w:sz="0" w:space="0" w:color="auto"/>
        <w:bottom w:val="none" w:sz="0" w:space="0" w:color="auto"/>
        <w:right w:val="none" w:sz="0" w:space="0" w:color="auto"/>
      </w:divBdr>
      <w:divsChild>
        <w:div w:id="2013218336">
          <w:marLeft w:val="0"/>
          <w:marRight w:val="0"/>
          <w:marTop w:val="0"/>
          <w:marBottom w:val="0"/>
          <w:divBdr>
            <w:top w:val="none" w:sz="0" w:space="0" w:color="auto"/>
            <w:left w:val="none" w:sz="0" w:space="0" w:color="auto"/>
            <w:bottom w:val="none" w:sz="0" w:space="0" w:color="auto"/>
            <w:right w:val="none" w:sz="0" w:space="0" w:color="auto"/>
          </w:divBdr>
          <w:divsChild>
            <w:div w:id="465009846">
              <w:marLeft w:val="0"/>
              <w:marRight w:val="0"/>
              <w:marTop w:val="240"/>
              <w:marBottom w:val="240"/>
              <w:divBdr>
                <w:top w:val="none" w:sz="0" w:space="0" w:color="auto"/>
                <w:left w:val="none" w:sz="0" w:space="0" w:color="auto"/>
                <w:bottom w:val="none" w:sz="0" w:space="0" w:color="auto"/>
                <w:right w:val="none" w:sz="0" w:space="0" w:color="auto"/>
              </w:divBdr>
            </w:div>
          </w:divsChild>
        </w:div>
        <w:div w:id="697119129">
          <w:marLeft w:val="0"/>
          <w:marRight w:val="0"/>
          <w:marTop w:val="0"/>
          <w:marBottom w:val="0"/>
          <w:divBdr>
            <w:top w:val="none" w:sz="0" w:space="0" w:color="auto"/>
            <w:left w:val="none" w:sz="0" w:space="0" w:color="auto"/>
            <w:bottom w:val="none" w:sz="0" w:space="0" w:color="auto"/>
            <w:right w:val="none" w:sz="0" w:space="0" w:color="auto"/>
          </w:divBdr>
          <w:divsChild>
            <w:div w:id="116339618">
              <w:marLeft w:val="0"/>
              <w:marRight w:val="0"/>
              <w:marTop w:val="0"/>
              <w:marBottom w:val="240"/>
              <w:divBdr>
                <w:top w:val="none" w:sz="0" w:space="0" w:color="auto"/>
                <w:left w:val="none" w:sz="0" w:space="0" w:color="auto"/>
                <w:bottom w:val="none" w:sz="0" w:space="0" w:color="auto"/>
                <w:right w:val="none" w:sz="0" w:space="0" w:color="auto"/>
              </w:divBdr>
              <w:divsChild>
                <w:div w:id="161316229">
                  <w:marLeft w:val="0"/>
                  <w:marRight w:val="0"/>
                  <w:marTop w:val="0"/>
                  <w:marBottom w:val="0"/>
                  <w:divBdr>
                    <w:top w:val="none" w:sz="0" w:space="0" w:color="auto"/>
                    <w:left w:val="none" w:sz="0" w:space="0" w:color="auto"/>
                    <w:bottom w:val="none" w:sz="0" w:space="0" w:color="auto"/>
                    <w:right w:val="none" w:sz="0" w:space="0" w:color="auto"/>
                  </w:divBdr>
                  <w:divsChild>
                    <w:div w:id="1706782997">
                      <w:marLeft w:val="0"/>
                      <w:marRight w:val="0"/>
                      <w:marTop w:val="0"/>
                      <w:marBottom w:val="0"/>
                      <w:divBdr>
                        <w:top w:val="none" w:sz="0" w:space="0" w:color="auto"/>
                        <w:left w:val="none" w:sz="0" w:space="0" w:color="auto"/>
                        <w:bottom w:val="none" w:sz="0" w:space="0" w:color="auto"/>
                        <w:right w:val="none" w:sz="0" w:space="0" w:color="auto"/>
                      </w:divBdr>
                    </w:div>
                    <w:div w:id="1097872551">
                      <w:marLeft w:val="0"/>
                      <w:marRight w:val="0"/>
                      <w:marTop w:val="0"/>
                      <w:marBottom w:val="0"/>
                      <w:divBdr>
                        <w:top w:val="none" w:sz="0" w:space="0" w:color="auto"/>
                        <w:left w:val="none" w:sz="0" w:space="0" w:color="auto"/>
                        <w:bottom w:val="none" w:sz="0" w:space="0" w:color="auto"/>
                        <w:right w:val="none" w:sz="0" w:space="0" w:color="auto"/>
                      </w:divBdr>
                      <w:divsChild>
                        <w:div w:id="1314946176">
                          <w:marLeft w:val="0"/>
                          <w:marRight w:val="0"/>
                          <w:marTop w:val="0"/>
                          <w:marBottom w:val="0"/>
                          <w:divBdr>
                            <w:top w:val="none" w:sz="0" w:space="0" w:color="auto"/>
                            <w:left w:val="none" w:sz="0" w:space="0" w:color="auto"/>
                            <w:bottom w:val="none" w:sz="0" w:space="0" w:color="auto"/>
                            <w:right w:val="none" w:sz="0" w:space="0" w:color="auto"/>
                          </w:divBdr>
                        </w:div>
                        <w:div w:id="19568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6469">
              <w:marLeft w:val="0"/>
              <w:marRight w:val="0"/>
              <w:marTop w:val="0"/>
              <w:marBottom w:val="0"/>
              <w:divBdr>
                <w:top w:val="none" w:sz="0" w:space="0" w:color="auto"/>
                <w:left w:val="none" w:sz="0" w:space="0" w:color="auto"/>
                <w:bottom w:val="none" w:sz="0" w:space="0" w:color="auto"/>
                <w:right w:val="none" w:sz="0" w:space="0" w:color="auto"/>
              </w:divBdr>
              <w:divsChild>
                <w:div w:id="1673296409">
                  <w:blockQuote w:val="1"/>
                  <w:marLeft w:val="600"/>
                  <w:marRight w:val="0"/>
                  <w:marTop w:val="0"/>
                  <w:marBottom w:val="0"/>
                  <w:divBdr>
                    <w:top w:val="none" w:sz="0" w:space="0" w:color="auto"/>
                    <w:left w:val="none" w:sz="0" w:space="0" w:color="auto"/>
                    <w:bottom w:val="none" w:sz="0" w:space="0" w:color="auto"/>
                    <w:right w:val="none" w:sz="0" w:space="0" w:color="auto"/>
                  </w:divBdr>
                </w:div>
                <w:div w:id="8968222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real-decreto-14-septiembre-1882-aprueba-ley-enjuiciamiento-criminal-2356982" TargetMode="External"/><Relationship Id="rId13" Type="http://schemas.openxmlformats.org/officeDocument/2006/relationships/hyperlink" Target="https://www.iberley.es/legislacion/real-decreto-14-septiembre-1882-aprueba-ley-enjuiciamiento-criminal-2356982" TargetMode="External"/><Relationship Id="rId18" Type="http://schemas.openxmlformats.org/officeDocument/2006/relationships/hyperlink" Target="https://www.iberley.es/legislacion/real-decreto-14-septiembre-1882-aprueba-ley-enjuiciamiento-criminal-235698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berley.es/legislacion/real-decreto-14-septiembre-1882-aprueba-ley-enjuiciamiento-criminal-2356982" TargetMode="External"/><Relationship Id="rId12" Type="http://schemas.openxmlformats.org/officeDocument/2006/relationships/hyperlink" Target="https://www.iberley.es/legislacion/real-decreto-14-septiembre-1882-aprueba-ley-enjuiciamiento-criminal-2356982" TargetMode="External"/><Relationship Id="rId17" Type="http://schemas.openxmlformats.org/officeDocument/2006/relationships/hyperlink" Target="https://www.iberley.es/legislacion/ley-1-2000-7-enero-enjuiciamiento-civil-436271" TargetMode="External"/><Relationship Id="rId2" Type="http://schemas.openxmlformats.org/officeDocument/2006/relationships/styles" Target="styles.xml"/><Relationship Id="rId16" Type="http://schemas.openxmlformats.org/officeDocument/2006/relationships/hyperlink" Target="https://www.iberley.es/legislacion/real-decreto-14-septiembre-1882-aprueba-ley-enjuiciamiento-criminal-23569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berley.es/legislacion/real-decreto-14-septiembre-1882-aprueba-ley-enjuiciamiento-criminal-2356982" TargetMode="External"/><Relationship Id="rId11" Type="http://schemas.openxmlformats.org/officeDocument/2006/relationships/hyperlink" Target="https://www.iberley.es/legislacion/real-decreto-14-septiembre-1882-aprueba-ley-enjuiciamiento-criminal-2356982" TargetMode="External"/><Relationship Id="rId5" Type="http://schemas.openxmlformats.org/officeDocument/2006/relationships/hyperlink" Target="https://www.iberley.es/legislacion/rd-ley-6-2023-19-dic-medidas-urgentes-ejecucion-prtr-materia-justicia-funcion-publica-regimen-local-mecenazgo-27234337" TargetMode="External"/><Relationship Id="rId15" Type="http://schemas.openxmlformats.org/officeDocument/2006/relationships/hyperlink" Target="https://www.iberley.es/legislacion/real-decreto-14-septiembre-1882-aprueba-ley-enjuiciamiento-criminal-2356982" TargetMode="External"/><Relationship Id="rId10" Type="http://schemas.openxmlformats.org/officeDocument/2006/relationships/hyperlink" Target="https://www.iberley.es/legislacion/real-decreto-14-septiembre-1882-aprueba-ley-enjuiciamiento-criminal-2356982" TargetMode="External"/><Relationship Id="rId19" Type="http://schemas.openxmlformats.org/officeDocument/2006/relationships/hyperlink" Target="https://www.iberley.es/legislacion/real-decreto-14-septiembre-1882-aprueba-ley-enjuiciamiento-criminal-2356982" TargetMode="External"/><Relationship Id="rId4" Type="http://schemas.openxmlformats.org/officeDocument/2006/relationships/webSettings" Target="webSettings.xml"/><Relationship Id="rId9" Type="http://schemas.openxmlformats.org/officeDocument/2006/relationships/hyperlink" Target="https://www.iberley.es/legislacion/real-decreto-14-septiembre-1882-aprueba-ley-enjuiciamiento-criminal-2356982" TargetMode="External"/><Relationship Id="rId14" Type="http://schemas.openxmlformats.org/officeDocument/2006/relationships/hyperlink" Target="https://www.iberley.es/legislacion/real-decreto-14-septiembre-1882-aprueba-ley-enjuiciamiento-criminal-235698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1717</Words>
  <Characters>9449</Characters>
  <Application>Microsoft Office Word</Application>
  <DocSecurity>0</DocSecurity>
  <Lines>78</Lines>
  <Paragraphs>22</Paragraphs>
  <ScaleCrop>false</ScaleCrop>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Centelles Garcia</dc:creator>
  <cp:keywords/>
  <dc:description/>
  <cp:lastModifiedBy>Montse Centelles Garcia</cp:lastModifiedBy>
  <cp:revision>1</cp:revision>
  <dcterms:created xsi:type="dcterms:W3CDTF">2024-02-08T21:08:00Z</dcterms:created>
  <dcterms:modified xsi:type="dcterms:W3CDTF">2024-02-08T21:11:00Z</dcterms:modified>
</cp:coreProperties>
</file>