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00b0f0"/>
          <w:sz w:val="28"/>
          <w:szCs w:val="28"/>
          <w:vertAlign w:val="baseline"/>
        </w:rPr>
      </w:pPr>
      <w:r w:rsidDel="00000000" w:rsidR="00000000" w:rsidRPr="00000000">
        <w:rPr>
          <w:rtl w:val="0"/>
        </w:rPr>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70ad47"/>
          <w:sz w:val="22"/>
          <w:szCs w:val="22"/>
          <w:vertAlign w:val="baseline"/>
        </w:rPr>
      </w:pPr>
      <w:r w:rsidDel="00000000" w:rsidR="00000000" w:rsidRPr="00000000">
        <w:rPr>
          <w:rFonts w:ascii="Century Gothic" w:cs="Century Gothic" w:eastAsia="Century Gothic" w:hAnsi="Century Gothic"/>
          <w:b w:val="1"/>
          <w:color w:val="70ad47"/>
          <w:sz w:val="22"/>
          <w:szCs w:val="22"/>
          <w:vertAlign w:val="baseline"/>
          <w:rtl w:val="0"/>
        </w:rPr>
        <w:t xml:space="preserve">AVALUACIÓ ORDINÀRIA</w:t>
      </w:r>
      <w:r w:rsidDel="00000000" w:rsidR="00000000" w:rsidRPr="00000000">
        <w:rPr>
          <w:rtl w:val="0"/>
        </w:rPr>
      </w:r>
    </w:p>
    <w:p w:rsidR="00000000" w:rsidDel="00000000" w:rsidP="00000000" w:rsidRDefault="00000000" w:rsidRPr="00000000" w14:paraId="00000003">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left"/>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trimestral</w:t>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final de la convocatòria trimestral s’obté a partir de les notes obtingudes en el treball de les competències específiques de la matèria seleccionades a continuació. </w:t>
      </w:r>
    </w:p>
    <w:p w:rsidR="00000000" w:rsidDel="00000000" w:rsidP="00000000" w:rsidRDefault="00000000" w:rsidRPr="00000000" w14:paraId="00000005">
      <w:pPr>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color w:val="222222"/>
          <w:sz w:val="22"/>
          <w:szCs w:val="22"/>
          <w:highlight w:val="white"/>
          <w:vertAlign w:val="baseline"/>
        </w:rPr>
      </w:pPr>
      <w:r w:rsidDel="00000000" w:rsidR="00000000" w:rsidRPr="00000000">
        <w:rPr>
          <w:rFonts w:ascii="Century Gothic" w:cs="Century Gothic" w:eastAsia="Century Gothic" w:hAnsi="Century Gothic"/>
          <w:sz w:val="22"/>
          <w:szCs w:val="22"/>
          <w:vertAlign w:val="baseline"/>
          <w:rtl w:val="0"/>
        </w:rPr>
        <w:t xml:space="preserve">De caràcter general, els instruments d’avaluació seran diferents, preveuran </w:t>
      </w:r>
      <w:r w:rsidDel="00000000" w:rsidR="00000000" w:rsidRPr="00000000">
        <w:rPr>
          <w:rFonts w:ascii="Century Gothic" w:cs="Century Gothic" w:eastAsia="Century Gothic" w:hAnsi="Century Gothic"/>
          <w:color w:val="222222"/>
          <w:sz w:val="22"/>
          <w:szCs w:val="22"/>
          <w:highlight w:val="white"/>
          <w:vertAlign w:val="baseline"/>
          <w:rtl w:val="0"/>
        </w:rPr>
        <w:t xml:space="preserve">l'autoavaluació i la co-avaluació d’alumnat i garantiran un seguiment continu de cada alumne/a al llarg del procés d'aprenentatge.</w:t>
      </w:r>
    </w:p>
    <w:p w:rsidR="00000000" w:rsidDel="00000000" w:rsidP="00000000" w:rsidRDefault="00000000" w:rsidRPr="00000000" w14:paraId="00000007">
      <w:pPr>
        <w:jc w:val="both"/>
        <w:rPr>
          <w:rFonts w:ascii="Century Gothic" w:cs="Century Gothic" w:eastAsia="Century Gothic" w:hAnsi="Century Gothic"/>
          <w:sz w:val="22"/>
          <w:szCs w:val="22"/>
          <w:vertAlign w:val="baseline"/>
        </w:rPr>
      </w:pPr>
      <w:r w:rsidDel="00000000" w:rsidR="00000000" w:rsidRPr="00000000">
        <w:rPr>
          <w:rtl w:val="0"/>
        </w:rPr>
      </w:r>
    </w:p>
    <w:tbl>
      <w:tblPr>
        <w:tblStyle w:val="Table1"/>
        <w:tblW w:w="985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87"/>
        <w:gridCol w:w="1263"/>
        <w:tblGridChange w:id="0">
          <w:tblGrid>
            <w:gridCol w:w="8587"/>
            <w:gridCol w:w="1263"/>
          </w:tblGrid>
        </w:tblGridChange>
      </w:tblGrid>
      <w:tr>
        <w:trPr>
          <w:cantSplit w:val="0"/>
          <w:trHeight w:val="807" w:hRule="atLeast"/>
          <w:tblHeader w:val="0"/>
        </w:trPr>
        <w:tc>
          <w:tcPr>
            <w:tcBorders>
              <w:bottom w:color="000000" w:space="0" w:sz="4" w:val="single"/>
            </w:tcBorders>
            <w:shd w:fill="92d050" w:val="clear"/>
            <w:vAlign w:val="center"/>
          </w:tcPr>
          <w:p w:rsidR="00000000" w:rsidDel="00000000" w:rsidP="00000000" w:rsidRDefault="00000000" w:rsidRPr="00000000" w14:paraId="0000000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COMPETÈNCIES ESPECÍFIQUES MATÈRIA </w:t>
            </w:r>
            <w:r w:rsidDel="00000000" w:rsidR="00000000" w:rsidRPr="00000000">
              <w:rPr>
                <w:rtl w:val="0"/>
              </w:rPr>
            </w:r>
          </w:p>
        </w:tc>
        <w:tc>
          <w:tcPr>
            <w:tcBorders>
              <w:bottom w:color="000000" w:space="0" w:sz="4" w:val="single"/>
            </w:tcBorders>
            <w:shd w:fill="92d050" w:val="clear"/>
            <w:vAlign w:val="center"/>
          </w:tcPr>
          <w:p w:rsidR="00000000" w:rsidDel="00000000" w:rsidP="00000000" w:rsidRDefault="00000000" w:rsidRPr="00000000" w14:paraId="0000000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SELECCIÓ</w:t>
            </w:r>
            <w:r w:rsidDel="00000000" w:rsidR="00000000" w:rsidRPr="00000000">
              <w:rPr>
                <w:rtl w:val="0"/>
              </w:rPr>
            </w:r>
          </w:p>
        </w:tc>
      </w:tr>
      <w:tr>
        <w:trPr>
          <w:cantSplit w:val="0"/>
          <w:trHeight w:val="509" w:hRule="atLeast"/>
          <w:tblHeader w:val="0"/>
        </w:trPr>
        <w:tc>
          <w:tcPr>
            <w:shd w:fill="e2efd9" w:val="clear"/>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Analitzar, coordinar i dissenyar projectes de recerca amb una actitud crítica i emprenedora, ideant i implementant estratègies i tècniques sostenibles i eficients de resolució de problemes, tot comunicant els resultats de manera ordenada i raonada, per crear i millorar productes i sistemes de manera continuada.</w:t>
            </w:r>
            <w:r w:rsidDel="00000000" w:rsidR="00000000" w:rsidRPr="00000000">
              <w:rPr>
                <w:rtl w:val="0"/>
              </w:rPr>
            </w:r>
          </w:p>
        </w:tc>
        <w:tc>
          <w:tcP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1r - 2n</w:t>
            </w:r>
            <w:r w:rsidDel="00000000" w:rsidR="00000000" w:rsidRPr="00000000">
              <w:rPr>
                <w:rtl w:val="0"/>
              </w:rPr>
            </w:r>
          </w:p>
        </w:tc>
      </w:tr>
      <w:tr>
        <w:trPr>
          <w:cantSplit w:val="0"/>
          <w:trHeight w:val="335" w:hRule="atLeast"/>
          <w:tblHeader w:val="0"/>
        </w:trPr>
        <w:tc>
          <w:tcPr>
            <w:shd w:fill="e2efd9" w:val="clea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2.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Comparar i seleccionar materials, aplicant criteris tècnics i sostenibles, per fabricar productes de qualitat i elaborar estudis d’impacte que aportin respostes a problemes o a situacions plantejades amb un enfocament ètic i ecosocialment responsable.</w:t>
            </w:r>
            <w:r w:rsidDel="00000000" w:rsidR="00000000" w:rsidRPr="00000000">
              <w:rPr>
                <w:rtl w:val="0"/>
              </w:rPr>
            </w:r>
          </w:p>
        </w:tc>
        <w:tc>
          <w:tcP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1r - 2n</w:t>
            </w: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3.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Seleccionar, utilitzar i configurar les eines digitals necessàries, aplicant coneixements interdisciplinaris, per resoldre tasques i comunicar els resultats de manera ordenada i precisa, amb l’ús acurat del llenguatge gràfic i la terminologia tècnica adequada.</w:t>
            </w:r>
            <w:r w:rsidDel="00000000" w:rsidR="00000000" w:rsidRPr="00000000">
              <w:rPr>
                <w:rtl w:val="0"/>
              </w:rPr>
            </w:r>
          </w:p>
        </w:tc>
        <w:tc>
          <w:tcP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1r - 2n</w:t>
            </w: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4.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Construir nous coneixements i millorar les destreses tècniques, aplicant i transferint sabers d’altres disciplines amb una actitud creativa, per calcular, mesurar i resoldre problemes o aportar respostes a diferents necessitats pròpies dels àmbits de l’enginyeria.</w:t>
            </w:r>
            <w:r w:rsidDel="00000000" w:rsidR="00000000" w:rsidRPr="00000000">
              <w:rPr>
                <w:rtl w:val="0"/>
              </w:rPr>
            </w:r>
          </w:p>
        </w:tc>
        <w:tc>
          <w:tcP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1r - 2n</w:t>
            </w: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5.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Dissenyar, crear i avaluar sistemes tecnològics aplicant coneixements de la regulació automàtica, del control programat i de les possibilitats que ofereixen les tecnologies emergents, per estudiar, controlar i automatitzar tasques en sistemes tecnològics i robòtics.</w:t>
            </w:r>
            <w:r w:rsidDel="00000000" w:rsidR="00000000" w:rsidRPr="00000000">
              <w:rPr>
                <w:rtl w:val="0"/>
              </w:rPr>
            </w:r>
          </w:p>
        </w:tc>
        <w:tc>
          <w:tcP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1r</w:t>
            </w: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6.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Identificar i analitzar els diferents sistemes tecnològics dels àmbits de l’enginyeria, estudiant i comparant les seves característiques, tot valorant l’ús de l’energia i l’eficiència energètica per avaluar i valorar l’ús sostenible i ecosocialment responsable que es fa de la tecnologia.</w:t>
            </w:r>
            <w:r w:rsidDel="00000000" w:rsidR="00000000" w:rsidRPr="00000000">
              <w:rPr>
                <w:rtl w:val="0"/>
              </w:rPr>
            </w:r>
          </w:p>
        </w:tc>
        <w:tc>
          <w:tcPr>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1r - 2n</w:t>
            </w:r>
            <w:r w:rsidDel="00000000" w:rsidR="00000000" w:rsidRPr="00000000">
              <w:rPr>
                <w:rtl w:val="0"/>
              </w:rPr>
            </w:r>
          </w:p>
        </w:tc>
      </w:tr>
    </w:tbl>
    <w:p w:rsidR="00000000" w:rsidDel="00000000" w:rsidP="00000000" w:rsidRDefault="00000000" w:rsidRPr="00000000" w14:paraId="0000001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tbl>
      <w:tblPr>
        <w:tblStyle w:val="Table2"/>
        <w:tblW w:w="106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6"/>
        <w:gridCol w:w="4098"/>
        <w:gridCol w:w="1941"/>
        <w:tblGridChange w:id="0">
          <w:tblGrid>
            <w:gridCol w:w="4626"/>
            <w:gridCol w:w="4098"/>
            <w:gridCol w:w="1941"/>
          </w:tblGrid>
        </w:tblGridChange>
      </w:tblGrid>
      <w:tr>
        <w:trPr>
          <w:cantSplit w:val="0"/>
          <w:trHeight w:val="718" w:hRule="atLeast"/>
          <w:tblHeader w:val="0"/>
        </w:trPr>
        <w:tc>
          <w:tcPr>
            <w:tcBorders>
              <w:top w:color="000000" w:space="0" w:sz="0" w:val="nil"/>
              <w:left w:color="000000" w:space="0" w:sz="0" w:val="nil"/>
              <w:bottom w:color="000000" w:space="0" w:sz="4" w:val="single"/>
              <w:right w:color="000000" w:space="0" w:sz="4" w:val="single"/>
            </w:tcBorders>
            <w:shd w:fill="ffffff" w:val="clear"/>
            <w:vAlign w:val="top"/>
          </w:tcPr>
          <w:p w:rsidR="00000000" w:rsidDel="00000000" w:rsidP="00000000" w:rsidRDefault="00000000" w:rsidRPr="00000000" w14:paraId="0000001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tl w:val="0"/>
              </w:rPr>
            </w:r>
          </w:p>
        </w:tc>
        <w:tc>
          <w:tcPr>
            <w:tcBorders>
              <w:left w:color="000000" w:space="0" w:sz="4" w:val="single"/>
            </w:tcBorders>
            <w:shd w:fill="92d050" w:val="clear"/>
            <w:vAlign w:val="center"/>
          </w:tcPr>
          <w:p w:rsidR="00000000" w:rsidDel="00000000" w:rsidP="00000000" w:rsidRDefault="00000000" w:rsidRPr="00000000" w14:paraId="0000001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INSTRUMENTS D’AVALUACIÓ</w:t>
            </w:r>
            <w:r w:rsidDel="00000000" w:rsidR="00000000" w:rsidRPr="00000000">
              <w:rPr>
                <w:rtl w:val="0"/>
              </w:rPr>
            </w:r>
          </w:p>
        </w:tc>
        <w:tc>
          <w:tcPr>
            <w:shd w:fill="92d050" w:val="clear"/>
            <w:vAlign w:val="center"/>
          </w:tcPr>
          <w:p w:rsidR="00000000" w:rsidDel="00000000" w:rsidP="00000000" w:rsidRDefault="00000000" w:rsidRPr="00000000" w14:paraId="0000001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PONDERACIONS</w:t>
            </w:r>
            <w:r w:rsidDel="00000000" w:rsidR="00000000" w:rsidRPr="00000000">
              <w:rPr>
                <w:rtl w:val="0"/>
              </w:rPr>
            </w:r>
          </w:p>
        </w:tc>
      </w:tr>
      <w:tr>
        <w:trPr>
          <w:cantSplit w:val="0"/>
          <w:trHeight w:val="711" w:hRule="atLeast"/>
          <w:tblHeader w:val="0"/>
        </w:trPr>
        <w:tc>
          <w:tcPr>
            <w:tcBorders>
              <w:top w:color="000000" w:space="0" w:sz="4" w:val="single"/>
            </w:tcBorders>
            <w:shd w:fill="e2efd9" w:val="clear"/>
            <w:vAlign w:val="center"/>
          </w:tcPr>
          <w:p w:rsidR="00000000" w:rsidDel="00000000" w:rsidP="00000000" w:rsidRDefault="00000000" w:rsidRPr="00000000" w14:paraId="0000001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COMPETÈNCIES específiques de matèria treballades  aquest curs/nivell</w:t>
            </w:r>
            <w:r w:rsidDel="00000000" w:rsidR="00000000" w:rsidRPr="00000000">
              <w:rPr>
                <w:rtl w:val="0"/>
              </w:rPr>
            </w:r>
          </w:p>
        </w:tc>
        <w:tc>
          <w:tcPr>
            <w:vAlign w:val="top"/>
          </w:tcPr>
          <w:p w:rsidR="00000000" w:rsidDel="00000000" w:rsidP="00000000" w:rsidRDefault="00000000" w:rsidRPr="00000000" w14:paraId="0000001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1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rtl w:val="0"/>
              </w:rPr>
              <w:t xml:space="preserve">Proves escrites </w:t>
            </w:r>
            <w:r w:rsidDel="00000000" w:rsidR="00000000" w:rsidRPr="00000000">
              <w:rPr>
                <w:rtl w:val="0"/>
              </w:rPr>
            </w:r>
          </w:p>
          <w:p w:rsidR="00000000" w:rsidDel="00000000" w:rsidP="00000000" w:rsidRDefault="00000000" w:rsidRPr="00000000" w14:paraId="0000001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1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1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2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tc>
        <w:tc>
          <w:tcPr>
            <w:vAlign w:val="top"/>
          </w:tcPr>
          <w:p w:rsidR="00000000" w:rsidDel="00000000" w:rsidP="00000000" w:rsidRDefault="00000000" w:rsidRPr="00000000" w14:paraId="0000002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100%</w:t>
            </w:r>
          </w:p>
        </w:tc>
      </w:tr>
    </w:tbl>
    <w:p w:rsidR="00000000" w:rsidDel="00000000" w:rsidP="00000000" w:rsidRDefault="00000000" w:rsidRPr="00000000" w14:paraId="0000002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2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Observacions rellevants del instruments d’avaluació emprats.</w:t>
      </w:r>
      <w:r w:rsidDel="00000000" w:rsidR="00000000" w:rsidRPr="00000000">
        <w:rPr>
          <w:rtl w:val="0"/>
        </w:rPr>
      </w:r>
    </w:p>
    <w:p w:rsidR="00000000" w:rsidDel="00000000" w:rsidP="00000000" w:rsidRDefault="00000000" w:rsidRPr="00000000" w14:paraId="0000002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2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ff2712"/>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Per aprovar el trimestre caldrà haver superat ≥50% la suma de les competències seleccionades.</w:t>
      </w:r>
      <w:r w:rsidDel="00000000" w:rsidR="00000000" w:rsidRPr="00000000">
        <w:rPr>
          <w:rtl w:val="0"/>
        </w:rPr>
      </w:r>
    </w:p>
    <w:p w:rsidR="00000000" w:rsidDel="00000000" w:rsidP="00000000" w:rsidRDefault="00000000" w:rsidRPr="00000000" w14:paraId="0000002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tl w:val="0"/>
        </w:rPr>
      </w:r>
    </w:p>
    <w:p w:rsidR="00000000" w:rsidDel="00000000" w:rsidP="00000000" w:rsidRDefault="00000000" w:rsidRPr="00000000" w14:paraId="0000002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Justificació d’absència el dia d’una prova o examen. </w:t>
      </w:r>
      <w:r w:rsidDel="00000000" w:rsidR="00000000" w:rsidRPr="00000000">
        <w:rPr>
          <w:rtl w:val="0"/>
        </w:rPr>
      </w:r>
    </w:p>
    <w:p w:rsidR="00000000" w:rsidDel="00000000" w:rsidP="00000000" w:rsidRDefault="00000000" w:rsidRPr="00000000" w14:paraId="0000002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2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Si un alumne falta a un examen, cal que presenti certificat mèdic o justifiqui la seva absència en cas de força major. No es podrà repetir cap examen a un alumne/a sense que aquest justificant sigui lliurat al tutor/a, i a la vegada, comunicat a cap d’estudis i/o la coordinació de batxillerat.</w:t>
      </w:r>
    </w:p>
    <w:p w:rsidR="00000000" w:rsidDel="00000000" w:rsidP="00000000" w:rsidRDefault="00000000" w:rsidRPr="00000000" w14:paraId="0000002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tl w:val="0"/>
        </w:rPr>
      </w:r>
    </w:p>
    <w:p w:rsidR="00000000" w:rsidDel="00000000" w:rsidP="00000000" w:rsidRDefault="00000000" w:rsidRPr="00000000" w14:paraId="0000002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No es pot faltar les hores prèvies a un examen. Si es produeix aquest fet sense cap causa justificable, i l’alumne acudeix a fer l’examen a l’hora programada, aquest no tindrà dret a fer-lo.  L’alumne haurà de fer directament la recuperació establerta segons els criteris d’avaluació de la matèria. Si ja ha fet l’examen i es prova que ha faltat les hores prèvies sense cap justificació, l’examen en qüestió no serà corregit i l’alumne s’haurà de presentar a l’activitat de recuperació establerta dins els criteris d’avaluació de la matèria</w:t>
      </w:r>
    </w:p>
    <w:p w:rsidR="00000000" w:rsidDel="00000000" w:rsidP="00000000" w:rsidRDefault="00000000" w:rsidRPr="00000000" w14:paraId="0000002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ff0000"/>
          <w:sz w:val="22"/>
          <w:szCs w:val="22"/>
          <w:vertAlign w:val="baseline"/>
        </w:rPr>
      </w:pPr>
      <w:r w:rsidDel="00000000" w:rsidR="00000000" w:rsidRPr="00000000">
        <w:rPr>
          <w:rtl w:val="0"/>
        </w:rPr>
      </w:r>
    </w:p>
    <w:p w:rsidR="00000000" w:rsidDel="00000000" w:rsidP="00000000" w:rsidRDefault="00000000" w:rsidRPr="00000000" w14:paraId="0000002E">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Activitats de recuperació trimestral</w:t>
      </w:r>
      <w:r w:rsidDel="00000000" w:rsidR="00000000" w:rsidRPr="00000000">
        <w:rPr>
          <w:rtl w:val="0"/>
        </w:rPr>
      </w:r>
    </w:p>
    <w:p w:rsidR="00000000" w:rsidDel="00000000" w:rsidP="00000000" w:rsidRDefault="00000000" w:rsidRPr="00000000" w14:paraId="0000002F">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En cas de no superar el trimestre, l’alumne/-a haurà de realitzar una prova de recuperació quan ho determini el pr</w:t>
      </w:r>
      <w:r w:rsidDel="00000000" w:rsidR="00000000" w:rsidRPr="00000000">
        <w:rPr>
          <w:rFonts w:ascii="Century Gothic" w:cs="Century Gothic" w:eastAsia="Century Gothic" w:hAnsi="Century Gothic"/>
          <w:sz w:val="22"/>
          <w:szCs w:val="22"/>
          <w:rtl w:val="0"/>
        </w:rPr>
        <w:t xml:space="preserve">ofessor. </w:t>
      </w:r>
      <w:r w:rsidDel="00000000" w:rsidR="00000000" w:rsidRPr="00000000">
        <w:rPr>
          <w:rtl w:val="0"/>
        </w:rPr>
      </w:r>
    </w:p>
    <w:p w:rsidR="00000000" w:rsidDel="00000000" w:rsidP="00000000" w:rsidRDefault="00000000" w:rsidRPr="00000000" w14:paraId="00000030">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both"/>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final contínua (juny)</w:t>
      </w:r>
    </w:p>
    <w:p w:rsidR="00000000" w:rsidDel="00000000" w:rsidP="00000000" w:rsidRDefault="00000000" w:rsidRPr="00000000" w14:paraId="0000003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de la final contínua s’obté a partir de les notes obtingudes en els diferents trimestres segons:</w:t>
      </w:r>
    </w:p>
    <w:p w:rsidR="00000000" w:rsidDel="00000000" w:rsidP="00000000" w:rsidRDefault="00000000" w:rsidRPr="00000000" w14:paraId="0000003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00b050"/>
          <w:sz w:val="22"/>
          <w:szCs w:val="22"/>
          <w:vertAlign w:val="baseline"/>
        </w:rPr>
      </w:pPr>
      <w:r w:rsidDel="00000000" w:rsidR="00000000" w:rsidRPr="00000000">
        <w:rPr>
          <w:rtl w:val="0"/>
        </w:rPr>
      </w:r>
    </w:p>
    <w:p w:rsidR="00000000" w:rsidDel="00000000" w:rsidP="00000000" w:rsidRDefault="00000000" w:rsidRPr="00000000" w14:paraId="0000003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color w:val="ff0000"/>
          <w:sz w:val="22"/>
          <w:szCs w:val="22"/>
          <w:vertAlign w:val="baseline"/>
        </w:rPr>
      </w:pPr>
      <w:r w:rsidDel="00000000" w:rsidR="00000000" w:rsidRPr="00000000">
        <w:rPr>
          <w:rFonts w:ascii="Century Gothic" w:cs="Century Gothic" w:eastAsia="Century Gothic" w:hAnsi="Century Gothic"/>
          <w:i w:val="1"/>
          <w:color w:val="ff0000"/>
          <w:sz w:val="22"/>
          <w:szCs w:val="22"/>
          <w:vertAlign w:val="baseline"/>
          <w:rtl w:val="0"/>
        </w:rPr>
        <w:t xml:space="preserve">QF = </w:t>
      </w:r>
      <w:r w:rsidDel="00000000" w:rsidR="00000000" w:rsidRPr="00000000">
        <w:rPr>
          <w:rFonts w:ascii="Century Gothic" w:cs="Century Gothic" w:eastAsia="Century Gothic" w:hAnsi="Century Gothic"/>
          <w:i w:val="1"/>
          <w:color w:val="ff0000"/>
          <w:sz w:val="22"/>
          <w:szCs w:val="22"/>
          <w:u w:val="single"/>
          <w:vertAlign w:val="baseline"/>
          <w:rtl w:val="0"/>
        </w:rPr>
        <w:t xml:space="preserve">QT1 + QT2  + QT3</w:t>
      </w:r>
      <w:r w:rsidDel="00000000" w:rsidR="00000000" w:rsidRPr="00000000">
        <w:rPr>
          <w:rtl w:val="0"/>
        </w:rPr>
      </w:r>
    </w:p>
    <w:p w:rsidR="00000000" w:rsidDel="00000000" w:rsidP="00000000" w:rsidRDefault="00000000" w:rsidRPr="00000000" w14:paraId="0000003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color w:val="ff0000"/>
          <w:sz w:val="22"/>
          <w:szCs w:val="22"/>
          <w:vertAlign w:val="baseline"/>
          <w:rtl w:val="0"/>
        </w:rPr>
        <w:t xml:space="preserve">3</w:t>
      </w:r>
      <w:r w:rsidDel="00000000" w:rsidR="00000000" w:rsidRPr="00000000">
        <w:rPr>
          <w:rtl w:val="0"/>
        </w:rPr>
      </w:r>
    </w:p>
    <w:p w:rsidR="00000000" w:rsidDel="00000000" w:rsidP="00000000" w:rsidRDefault="00000000" w:rsidRPr="00000000" w14:paraId="0000003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3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QF = qualificació final</w:t>
      </w:r>
      <w:r w:rsidDel="00000000" w:rsidR="00000000" w:rsidRPr="00000000">
        <w:rPr>
          <w:rtl w:val="0"/>
        </w:rPr>
      </w:r>
    </w:p>
    <w:p w:rsidR="00000000" w:rsidDel="00000000" w:rsidP="00000000" w:rsidRDefault="00000000" w:rsidRPr="00000000" w14:paraId="0000003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QT1 = qualificació del primer trimestre</w:t>
      </w:r>
      <w:r w:rsidDel="00000000" w:rsidR="00000000" w:rsidRPr="00000000">
        <w:rPr>
          <w:rtl w:val="0"/>
        </w:rPr>
      </w:r>
    </w:p>
    <w:p w:rsidR="00000000" w:rsidDel="00000000" w:rsidP="00000000" w:rsidRDefault="00000000" w:rsidRPr="00000000" w14:paraId="0000003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QT2 = qualificació del segon trimestre</w:t>
      </w:r>
      <w:r w:rsidDel="00000000" w:rsidR="00000000" w:rsidRPr="00000000">
        <w:rPr>
          <w:rtl w:val="0"/>
        </w:rPr>
      </w:r>
    </w:p>
    <w:p w:rsidR="00000000" w:rsidDel="00000000" w:rsidP="00000000" w:rsidRDefault="00000000" w:rsidRPr="00000000" w14:paraId="0000003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QT3 = qualificació del tercer trimestre</w:t>
      </w:r>
      <w:r w:rsidDel="00000000" w:rsidR="00000000" w:rsidRPr="00000000">
        <w:rPr>
          <w:rtl w:val="0"/>
        </w:rPr>
      </w:r>
    </w:p>
    <w:p w:rsidR="00000000" w:rsidDel="00000000" w:rsidP="00000000" w:rsidRDefault="00000000" w:rsidRPr="00000000" w14:paraId="0000003A">
      <w:pPr>
        <w:spacing w:after="240" w:lineRule="auto"/>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3B">
      <w:pPr>
        <w:spacing w:after="240" w:lineRule="auto"/>
        <w:jc w:val="both"/>
        <w:rPr>
          <w:rFonts w:ascii="Century Gothic" w:cs="Century Gothic" w:eastAsia="Century Gothic" w:hAnsi="Century Gothic"/>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RECUPERACIÓ MATÈRIA PENDENT CURSOS ANTERIORS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L’alumnat de 1r de BAT que passi de curs amb la matèria pendent (o matèries), la podrà recuperar durant el primer trimestre de 2n de BAT, d’acord amb el calendari programat de recuperació de matèries pendents.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 cas d’avaluació negativa, l’alumnat podrà recuperar la matèria en una segona convocatòria durant el 2n trimestre i en última instància, a l’avaluació final ordinària i, si escau, a l’avaluació final extraordinària.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qualificació de la matèria després d'aquestes activitats de recuperació es qualificarà com la resta de matèries, és a dir, de l'1 al 10.</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principi de curs, el/la cap de departament i la coordinació de batxillerat faran arribar les instruccions per recuperar la/es matèria/es pendents del curs anterior a l’alumnat concret.</w:t>
      </w:r>
    </w:p>
    <w:p w:rsidR="00000000" w:rsidDel="00000000" w:rsidP="00000000" w:rsidRDefault="00000000" w:rsidRPr="00000000" w14:paraId="0000004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1">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sectPr>
      <w:headerReference r:id="rId7" w:type="default"/>
      <w:footerReference r:id="rId8" w:type="default"/>
      <w:pgSz w:h="16838" w:w="11906" w:orient="portrait"/>
      <w:pgMar w:bottom="1134"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698.999999999998" w:type="dxa"/>
      <w:jc w:val="center"/>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693"/>
      <w:gridCol w:w="2303"/>
      <w:gridCol w:w="1124"/>
      <w:gridCol w:w="1015"/>
      <w:gridCol w:w="1978"/>
      <w:gridCol w:w="573"/>
      <w:gridCol w:w="1263"/>
      <w:gridCol w:w="750"/>
      <w:tblGridChange w:id="0">
        <w:tblGrid>
          <w:gridCol w:w="693"/>
          <w:gridCol w:w="2303"/>
          <w:gridCol w:w="1124"/>
          <w:gridCol w:w="1015"/>
          <w:gridCol w:w="1978"/>
          <w:gridCol w:w="573"/>
          <w:gridCol w:w="1263"/>
          <w:gridCol w:w="750"/>
        </w:tblGrid>
      </w:tblGridChange>
    </w:tblGrid>
    <w:tr>
      <w:trPr>
        <w:cantSplit w:val="1"/>
        <w:trHeight w:val="294" w:hRule="atLeast"/>
        <w:tblHeader w:val="0"/>
      </w:trPr>
      <w:tc>
        <w:tcPr>
          <w:vMerge w:val="restart"/>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c0c0c0"/>
              <w:sz w:val="16"/>
              <w:szCs w:val="16"/>
              <w:u w:val="none"/>
              <w:shd w:fill="auto" w:val="clear"/>
              <w:vertAlign w:val="baseline"/>
            </w:rPr>
            <w:drawing>
              <wp:inline distB="0" distT="0" distL="114300" distR="114300">
                <wp:extent cx="276860" cy="314325"/>
                <wp:effectExtent b="0" l="0" r="0" t="0"/>
                <wp:docPr id="10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76860" cy="31432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Generalitat de Catalunya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Departament d’Educació</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Institut Baix Camp</w:t>
          </w:r>
          <w:r w:rsidDel="00000000" w:rsidR="00000000" w:rsidRPr="00000000">
            <w:rPr>
              <w:rtl w:val="0"/>
            </w:rPr>
          </w:r>
        </w:p>
      </w:tc>
      <w:tc>
        <w:tcPr>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25/06/2024</w:t>
          </w:r>
        </w:p>
      </w:tc>
      <w:tc>
        <w:tcPr>
          <w:vAlign w:val="cente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Arxiu</w:t>
          </w:r>
        </w:p>
      </w:tc>
      <w:tc>
        <w:tcPr>
          <w:gridSpan w:val="3"/>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Model criteris qualificació BATX</w:t>
          </w:r>
        </w:p>
      </w:tc>
      <w:tc>
        <w:tcPr>
          <w:vMerge w:val="restart"/>
          <w:vAlign w:val="cente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rHeight w:val="294" w:hRule="atLeast"/>
        <w:tblHeader w:val="0"/>
      </w:trPr>
      <w:tc>
        <w:tcPr>
          <w:vMerge w:val="continue"/>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versió  1</w:t>
          </w:r>
        </w:p>
      </w:tc>
      <w:tc>
        <w:tcP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Elaborat</w:t>
          </w:r>
        </w:p>
      </w:tc>
      <w:tc>
        <w:tcPr>
          <w:vAlign w:val="cente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Coordinació pedagògica </w:t>
          </w:r>
        </w:p>
      </w:tc>
      <w:tc>
        <w:tcPr>
          <w:vAlign w:val="cente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Codi</w:t>
          </w:r>
        </w:p>
      </w:tc>
      <w:tc>
        <w:tcPr>
          <w:vAlign w:val="cente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MO-PRO088</w:t>
          </w:r>
        </w:p>
      </w:tc>
      <w:tc>
        <w:tcPr>
          <w:vMerge w:val="continue"/>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2"/>
        <w:szCs w:val="22"/>
        <w:vertAlign w:val="baseline"/>
      </w:rPr>
    </w:pPr>
    <w:r w:rsidDel="00000000" w:rsidR="00000000" w:rsidRPr="00000000">
      <w:rPr>
        <w:rtl w:val="0"/>
      </w:rPr>
    </w:r>
  </w:p>
  <w:tbl>
    <w:tblPr>
      <w:tblStyle w:val="Table3"/>
      <w:tblW w:w="918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3060"/>
      <w:gridCol w:w="1800"/>
      <w:gridCol w:w="4320"/>
      <w:tblGridChange w:id="0">
        <w:tblGrid>
          <w:gridCol w:w="3060"/>
          <w:gridCol w:w="1800"/>
          <w:gridCol w:w="4320"/>
        </w:tblGrid>
      </w:tblGridChange>
    </w:tblGrid>
    <w:tr>
      <w:trPr>
        <w:cantSplit w:val="1"/>
        <w:trHeight w:val="537" w:hRule="atLeast"/>
        <w:tblHeader w:val="0"/>
      </w:trPr>
      <w:tc>
        <w:tcPr>
          <w:vMerge w:val="restart"/>
          <w:vAlign w:val="center"/>
        </w:tcPr>
        <w:p w:rsidR="00000000" w:rsidDel="00000000" w:rsidP="00000000" w:rsidRDefault="00000000" w:rsidRPr="00000000" w14:paraId="00000045">
          <w:pPr>
            <w:tabs>
              <w:tab w:val="left" w:leader="none" w:pos="567"/>
            </w:tabs>
            <w:rPr>
              <w:color w:val="333333"/>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-809623</wp:posOffset>
                </wp:positionH>
                <wp:positionV relativeFrom="paragraph">
                  <wp:posOffset>-1902</wp:posOffset>
                </wp:positionV>
                <wp:extent cx="809625" cy="809625"/>
                <wp:effectExtent b="0" l="0" r="0" t="0"/>
                <wp:wrapSquare wrapText="bothSides" distB="0" distT="0" distL="114300" distR="114300"/>
                <wp:docPr id="10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9625" cy="809625"/>
                        </a:xfrm>
                        <a:prstGeom prst="rect"/>
                        <a:ln/>
                      </pic:spPr>
                    </pic:pic>
                  </a:graphicData>
                </a:graphic>
              </wp:anchor>
            </w:drawing>
          </w:r>
        </w:p>
      </w:tc>
      <w:tc>
        <w:tcPr>
          <w:gridSpan w:val="2"/>
          <w:vAlign w:val="center"/>
        </w:tcPr>
        <w:p w:rsidR="00000000" w:rsidDel="00000000" w:rsidP="00000000" w:rsidRDefault="00000000" w:rsidRPr="00000000" w14:paraId="0000004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          CRITERIS DE QUALIFICACIÓ BATX</w:t>
          </w:r>
        </w:p>
      </w:tc>
    </w:tr>
    <w:tr>
      <w:trPr>
        <w:cantSplit w:val="1"/>
        <w:trHeight w:val="253" w:hRule="atLeast"/>
        <w:tblHeader w:val="0"/>
      </w:trPr>
      <w:tc>
        <w:tcPr>
          <w:vMerge w:val="continue"/>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9">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Matèria</w:t>
          </w:r>
        </w:p>
      </w:tc>
      <w:tc>
        <w:tcPr>
          <w:vAlign w:val="center"/>
        </w:tcPr>
        <w:p w:rsidR="00000000" w:rsidDel="00000000" w:rsidP="00000000" w:rsidRDefault="00000000" w:rsidRPr="00000000" w14:paraId="0000004A">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Tecnologia i Enginyeria</w:t>
          </w:r>
        </w:p>
      </w:tc>
    </w:tr>
    <w:tr>
      <w:trPr>
        <w:cantSplit w:val="1"/>
        <w:trHeight w:val="403" w:hRule="atLeast"/>
        <w:tblHeader w:val="0"/>
      </w:trPr>
      <w:tc>
        <w:tcPr>
          <w:vMerge w:val="continue"/>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333333"/>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4C">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Nivell</w:t>
          </w:r>
        </w:p>
      </w:tc>
      <w:tc>
        <w:tcPr>
          <w:vAlign w:val="center"/>
        </w:tcPr>
        <w:p w:rsidR="00000000" w:rsidDel="00000000" w:rsidP="00000000" w:rsidRDefault="00000000" w:rsidRPr="00000000" w14:paraId="0000004D">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highlight w:val="yellow"/>
              <w:vertAlign w:val="baseline"/>
              <w:rtl w:val="0"/>
            </w:rPr>
            <w:t xml:space="preserve">XXX</w:t>
          </w:r>
          <w:r w:rsidDel="00000000" w:rsidR="00000000" w:rsidRPr="00000000">
            <w:rPr>
              <w:rtl w:val="0"/>
            </w:rPr>
          </w:r>
        </w:p>
      </w:tc>
    </w:tr>
  </w:tb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ca-ES" w:val="ca-ES"/>
    </w:rPr>
  </w:style>
  <w:style w:type="paragraph" w:styleId="Título3">
    <w:name w:val="Título 3"/>
    <w:basedOn w:val="Normal"/>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cs="Arial" w:eastAsia="DejaVu Sans" w:hAnsi="Times"/>
      <w:b w:val="1"/>
      <w:bCs w:val="1"/>
      <w:w w:val="100"/>
      <w:kern w:val="1"/>
      <w:position w:val="-1"/>
      <w:sz w:val="26"/>
      <w:szCs w:val="26"/>
      <w:effect w:val="none"/>
      <w:vertAlign w:val="baseline"/>
      <w:cs w:val="0"/>
      <w:em w:val="none"/>
      <w:lang w:bidi="ar-SA" w:eastAsia="und" w:val="ca-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Formatolibre">
    <w:name w:val="Formato libre"/>
    <w:next w:val="Formatolibre"/>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es-ES" w:val="und"/>
    </w:rPr>
  </w:style>
  <w:style w:type="paragraph" w:styleId="Título31">
    <w:name w:val="Título 31"/>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eastAsia="ヒラギノ角ゴ Pro W3" w:hAnsi="Times"/>
      <w:b w:val="1"/>
      <w:color w:val="000000"/>
      <w:w w:val="100"/>
      <w:kern w:val="1"/>
      <w:position w:val="-1"/>
      <w:sz w:val="26"/>
      <w:effect w:val="none"/>
      <w:vertAlign w:val="baseline"/>
      <w:cs w:val="0"/>
      <w:em w:val="none"/>
      <w:lang w:bidi="ar-SA" w:eastAsia="es-ES" w:val="und"/>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paragraph" w:styleId="Párrafodelista">
    <w:name w:val="Párrafo de lista"/>
    <w:basedOn w:val="Normal"/>
    <w:next w:val="Párrafode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PiedepáginaCar">
    <w:name w:val="Pie de página Car"/>
    <w:next w:val="PiedepáginaCar"/>
    <w:autoRedefine w:val="0"/>
    <w:hidden w:val="0"/>
    <w:qFormat w:val="0"/>
    <w:rPr>
      <w:w w:val="100"/>
      <w:position w:val="-1"/>
      <w:sz w:val="24"/>
      <w:szCs w:val="24"/>
      <w:effect w:val="none"/>
      <w:vertAlign w:val="baseline"/>
      <w:cs w:val="0"/>
      <w:em w:val="none"/>
      <w:lang w:eastAsia="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FSvXeoYDlehDspNB5LBkMt3DMw==">CgMxLjA4AHIhMUFOdDBvUXByVVNObmozbGlPdWQ4RXk5cXRqcjlxX3hq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2024-06-27T05:34:00Z</dcterms:created>
  <dc:creator>j&amp;n</dc:creator>
</cp:coreProperties>
</file>