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2.0" w:type="dxa"/>
        <w:jc w:val="center"/>
        <w:tblLayout w:type="fixed"/>
        <w:tblLook w:val="0000"/>
      </w:tblPr>
      <w:tblGrid>
        <w:gridCol w:w="9142"/>
        <w:gridCol w:w="1380"/>
        <w:tblGridChange w:id="0">
          <w:tblGrid>
            <w:gridCol w:w="9142"/>
            <w:gridCol w:w="1380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Layout w:type="fixed"/>
        <w:tblLook w:val="0000"/>
      </w:tblPr>
      <w:tblGrid>
        <w:gridCol w:w="4626"/>
        <w:gridCol w:w="4096"/>
        <w:gridCol w:w="1943"/>
        <w:tblGridChange w:id="0">
          <w:tblGrid>
            <w:gridCol w:w="4626"/>
            <w:gridCol w:w="4096"/>
            <w:gridCol w:w="1943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dossier d’aprenentatge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Prova competencial escrita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Rúbrica d’activitat d’aplicació complementària oral i/o escrita *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0%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i w:val="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 </w:t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Full de control de deures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0%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 En cas que no es dugui a terme aquest instrument d’avaluació en alguna situació d’aprenentatge, el percentatge corresponent s’afegirà al de les proves competencials escrites.</w:t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En cas de no superar el trimestre, l’alumne/a haurà de presentar un resum del temes corresponents amb un mapa conceptual i les tasques no realitzades i el dossier d'aprenentatge degudament completat, si és el 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0"/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shd w:fill="auto" w:val="clear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u w:val="single"/>
          <w:shd w:fill="auto" w:val="clear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0" w:line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6">
      <w:pPr>
        <w:spacing w:after="240" w:before="0" w:line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-A final de curs s’entregarà a l’alumnat amb l’assignatura pendent el dossier de recuperació corresponent que haurà de presentar a la cap de departament i/o professora de biologia de referència durant el curs següent.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B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6.0" w:type="dxa"/>
      <w:jc w:val="center"/>
      <w:tblLayout w:type="fixed"/>
      <w:tblLook w:val="0000"/>
    </w:tblPr>
    <w:tblGrid>
      <w:gridCol w:w="693"/>
      <w:gridCol w:w="2302"/>
      <w:gridCol w:w="1124"/>
      <w:gridCol w:w="1016"/>
      <w:gridCol w:w="1978"/>
      <w:gridCol w:w="573"/>
      <w:gridCol w:w="1264"/>
      <w:gridCol w:w="746"/>
      <w:tblGridChange w:id="0">
        <w:tblGrid>
          <w:gridCol w:w="693"/>
          <w:gridCol w:w="2302"/>
          <w:gridCol w:w="1124"/>
          <w:gridCol w:w="1016"/>
          <w:gridCol w:w="1978"/>
          <w:gridCol w:w="573"/>
          <w:gridCol w:w="1264"/>
          <w:gridCol w:w="746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281305" cy="3143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Layout w:type="fixed"/>
      <w:tblLook w:val="0000"/>
    </w:tblPr>
    <w:tblGrid>
      <w:gridCol w:w="3060"/>
      <w:gridCol w:w="1798"/>
      <w:gridCol w:w="4322"/>
      <w:tblGridChange w:id="0">
        <w:tblGrid>
          <w:gridCol w:w="3060"/>
          <w:gridCol w:w="1798"/>
          <w:gridCol w:w="4322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5D">
          <w:pPr>
            <w:widowControl w:val="0"/>
            <w:tabs>
              <w:tab w:val="left" w:leader="none" w:pos="567"/>
            </w:tabs>
            <w:rPr>
              <w:color w:val="333333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E">
          <w:pPr>
            <w:keepNext w:val="1"/>
            <w:keepLines w:val="0"/>
            <w:widowControl w:val="0"/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1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Biologia i Geologia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4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5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baseline"/>
              <w:rtl w:val="0"/>
            </w:rPr>
            <w:t xml:space="preserve">1r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superscript"/>
              <w:rtl w:val="0"/>
            </w:rPr>
            <w:t xml:space="preserve"> 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baseline"/>
              <w:rtl w:val="0"/>
            </w:rPr>
            <w:t xml:space="preserve">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