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color w:val="31849b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color w:val="31849b"/>
          <w:sz w:val="28"/>
          <w:szCs w:val="28"/>
          <w:rtl w:val="0"/>
        </w:rPr>
        <w:t xml:space="preserve">Biologia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color w:val="31849b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31849b"/>
          <w:sz w:val="28"/>
          <w:szCs w:val="28"/>
          <w:rtl w:val="0"/>
        </w:rPr>
        <w:t xml:space="preserve">4rt 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AVALUACIÓ ORDINÀRIA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60" w:before="24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Nota trimestral</w:t>
      </w:r>
    </w:p>
    <w:p w:rsidR="00000000" w:rsidDel="00000000" w:rsidP="00000000" w:rsidRDefault="00000000" w:rsidRPr="00000000" w14:paraId="00000006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nota final de la convocatòria trimestral s’obté a partir de les notes obtingudes en les diferents unitats didàctiques, segons les dimensions detallades a continuació.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caràcter general, els instruments d’avaluació a cada dimensió seran diferents i amb una àmplia varietat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d’activitats i instruments d'avaluació que prevegin l'autoavaluació i la coavaluació dels alumnes i permetin fer un seguiment continu de cada alumne/a al llarg del procés d'aprenentatge.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1"/>
        <w:gridCol w:w="1681"/>
        <w:gridCol w:w="3362"/>
        <w:gridCol w:w="3362"/>
        <w:tblGridChange w:id="0">
          <w:tblGrid>
            <w:gridCol w:w="1681"/>
            <w:gridCol w:w="1681"/>
            <w:gridCol w:w="3362"/>
            <w:gridCol w:w="3362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gridSpan w:val="2"/>
            <w:shd w:fill="33cccc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DIMENSIONS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INSTRUMENTS D’AVALUACIÓ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PONDERACIONS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Merge w:val="restart"/>
            <w:shd w:fill="ccffff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Específiques d’àmbit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cffff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Dimensió indagació de fenòmens naturals i de la vida quotidiana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Proves escrites i activitats grupals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35%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Activitat grupal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10%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cffff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Dimensió medi ambient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Proves escrites  i activitats grupals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5%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Activitat grupal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10%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Merge w:val="restart"/>
            <w:shd w:fill="ccffff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Comuna a totes les matèries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cffff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Dimensió actitudinal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Respecte i compliment de les normes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10%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Esforç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10%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Carpeta aprenentatge</w:t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20%</w:t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aprovar el trimestre caldrà haver superat el 50 % de la suma de les dimensions.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Observacions rellevants del instruments d’avaluació emprats.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cas que no es dugui a terme algun dels instruments d’avaluació citats, el percentatge corresponent s’afegirà al de les proves escrites.</w:t>
      </w:r>
    </w:p>
    <w:p w:rsidR="00000000" w:rsidDel="00000000" w:rsidP="00000000" w:rsidRDefault="00000000" w:rsidRPr="00000000" w14:paraId="00000043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Justificació d’absència el dia d’una prova o examen. </w:t>
      </w:r>
    </w:p>
    <w:p w:rsidR="00000000" w:rsidDel="00000000" w:rsidP="00000000" w:rsidRDefault="00000000" w:rsidRPr="00000000" w14:paraId="00000045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l’alumne acumula 3 faltes injustificades en exàmens de qualsevol assignatura perd el dret d’examinar-se fins l’aportació d’un justificant oficial. </w:t>
      </w:r>
    </w:p>
    <w:p w:rsidR="00000000" w:rsidDel="00000000" w:rsidP="00000000" w:rsidRDefault="00000000" w:rsidRPr="00000000" w14:paraId="00000047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color w:val="ff271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Activitats de recuperació trimestral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Els alumnes hauran de presentar totes les activitats demanades al trimestre, a més d’activitats complementàries.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60" w:before="24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Nota final contínua (juny)</w:t>
      </w:r>
    </w:p>
    <w:p w:rsidR="00000000" w:rsidDel="00000000" w:rsidP="00000000" w:rsidRDefault="00000000" w:rsidRPr="00000000" w14:paraId="0000004E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nota de la final contínua s’obté a partir de les notes obtingudes en els diferents trimestres.</w:t>
      </w:r>
    </w:p>
    <w:p w:rsidR="00000000" w:rsidDel="00000000" w:rsidP="00000000" w:rsidRDefault="00000000" w:rsidRPr="00000000" w14:paraId="0000004F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Segons:</w:t>
      </w:r>
    </w:p>
    <w:p w:rsidR="00000000" w:rsidDel="00000000" w:rsidP="00000000" w:rsidRDefault="00000000" w:rsidRPr="00000000" w14:paraId="00000050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QF =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QT1 + QT2  + QT3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QF = qualificació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QT1 = qualificació del primer trimestre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QT2 = qualificació del segon trimestre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QT3 = qualificació del tercer trimestre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Cal tenir present que els termes emprats als informes d’avaluació per valorar el grau d’assoliment de l’alumne/a són qualitatius. Aquesta valoració, tant numèrica com qualitativa, té sempre un veritable sentit d’avaluació formativa i formadora, i resultarà del valor numèric obtingut segons les indicacions detallades anteriorment i tenint en compte les equivalències numèriques següents:</w:t>
      </w:r>
    </w:p>
    <w:p w:rsidR="00000000" w:rsidDel="00000000" w:rsidP="00000000" w:rsidRDefault="00000000" w:rsidRPr="00000000" w14:paraId="0000005B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AE: assoliment excel·lent (entre 9 i 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AN: assoliment notable (entre 7 i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AS: assoliment satisfactori  (entre 5 i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NA: no assoliment  (menys de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color w:val="ff271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rPr>
          <w:rFonts w:ascii="Arial" w:cs="Arial" w:eastAsia="Arial" w:hAnsi="Arial"/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color w:val="ff271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9698.0" w:type="dxa"/>
      <w:jc w:val="center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692"/>
      <w:gridCol w:w="2303"/>
      <w:gridCol w:w="1124"/>
      <w:gridCol w:w="1015"/>
      <w:gridCol w:w="1978"/>
      <w:gridCol w:w="573"/>
      <w:gridCol w:w="1263"/>
      <w:gridCol w:w="750"/>
      <w:tblGridChange w:id="0">
        <w:tblGrid>
          <w:gridCol w:w="692"/>
          <w:gridCol w:w="2303"/>
          <w:gridCol w:w="1124"/>
          <w:gridCol w:w="1015"/>
          <w:gridCol w:w="1978"/>
          <w:gridCol w:w="573"/>
          <w:gridCol w:w="1263"/>
          <w:gridCol w:w="750"/>
        </w:tblGrid>
      </w:tblGridChange>
    </w:tblGrid>
    <w:tr>
      <w:trPr>
        <w:cantSplit w:val="0"/>
        <w:trHeight w:val="280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7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c0c0c0"/>
              <w:sz w:val="16"/>
              <w:szCs w:val="16"/>
            </w:rPr>
            <w:drawing>
              <wp:inline distB="0" distT="0" distL="114300" distR="114300">
                <wp:extent cx="285750" cy="320040"/>
                <wp:effectExtent b="0" l="0" r="0" t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320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7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Generalitat de Catalunya </w:t>
          </w:r>
        </w:p>
        <w:p w:rsidR="00000000" w:rsidDel="00000000" w:rsidP="00000000" w:rsidRDefault="00000000" w:rsidRPr="00000000" w14:paraId="0000007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Departament d’Educació</w:t>
          </w:r>
        </w:p>
        <w:p w:rsidR="00000000" w:rsidDel="00000000" w:rsidP="00000000" w:rsidRDefault="00000000" w:rsidRPr="00000000" w14:paraId="0000007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808080"/>
              <w:sz w:val="16"/>
              <w:szCs w:val="16"/>
              <w:rtl w:val="0"/>
            </w:rPr>
            <w:t xml:space="preserve">Institut Baix Camp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21/06/2019</w:t>
          </w:r>
        </w:p>
      </w:tc>
      <w:tc>
        <w:tcPr>
          <w:vAlign w:val="center"/>
        </w:tcPr>
        <w:p w:rsidR="00000000" w:rsidDel="00000000" w:rsidP="00000000" w:rsidRDefault="00000000" w:rsidRPr="00000000" w14:paraId="0000007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righ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Arxiu</w:t>
          </w:r>
        </w:p>
      </w:tc>
      <w:tc>
        <w:tcPr>
          <w:gridSpan w:val="3"/>
          <w:vAlign w:val="center"/>
        </w:tcPr>
        <w:p w:rsidR="00000000" w:rsidDel="00000000" w:rsidP="00000000" w:rsidRDefault="00000000" w:rsidRPr="00000000" w14:paraId="0000007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Criteris Avaluació àmbit cientifico tecnologic</w:t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8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8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8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versió  1</w:t>
          </w:r>
        </w:p>
      </w:tc>
      <w:tc>
        <w:tcPr>
          <w:vAlign w:val="center"/>
        </w:tcPr>
        <w:p w:rsidR="00000000" w:rsidDel="00000000" w:rsidP="00000000" w:rsidRDefault="00000000" w:rsidRPr="00000000" w14:paraId="0000008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righ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Elaborat</w:t>
          </w:r>
        </w:p>
      </w:tc>
      <w:tc>
        <w:tcPr>
          <w:vAlign w:val="center"/>
        </w:tcPr>
        <w:p w:rsidR="00000000" w:rsidDel="00000000" w:rsidP="00000000" w:rsidRDefault="00000000" w:rsidRPr="00000000" w14:paraId="0000008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Coordinació pedagògica </w:t>
          </w:r>
        </w:p>
      </w:tc>
      <w:tc>
        <w:tcPr>
          <w:vAlign w:val="center"/>
        </w:tcPr>
        <w:p w:rsidR="00000000" w:rsidDel="00000000" w:rsidP="00000000" w:rsidRDefault="00000000" w:rsidRPr="00000000" w14:paraId="0000008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Codi</w:t>
          </w:r>
        </w:p>
      </w:tc>
      <w:tc>
        <w:tcPr>
          <w:vAlign w:val="center"/>
        </w:tcPr>
        <w:p w:rsidR="00000000" w:rsidDel="00000000" w:rsidP="00000000" w:rsidRDefault="00000000" w:rsidRPr="00000000" w14:paraId="0000008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MO-PRO078</w:t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180.0" w:type="dxa"/>
      <w:jc w:val="left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3060"/>
      <w:gridCol w:w="1800"/>
      <w:gridCol w:w="4320"/>
      <w:tblGridChange w:id="0">
        <w:tblGrid>
          <w:gridCol w:w="3060"/>
          <w:gridCol w:w="1800"/>
          <w:gridCol w:w="4320"/>
        </w:tblGrid>
      </w:tblGridChange>
    </w:tblGrid>
    <w:tr>
      <w:trPr>
        <w:cantSplit w:val="0"/>
        <w:trHeight w:val="520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6B">
          <w:pPr>
            <w:tabs>
              <w:tab w:val="left" w:leader="none" w:pos="567"/>
            </w:tabs>
            <w:rPr>
              <w:color w:val="333333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-809620</wp:posOffset>
                </wp:positionH>
                <wp:positionV relativeFrom="paragraph">
                  <wp:posOffset>-1900</wp:posOffset>
                </wp:positionV>
                <wp:extent cx="809625" cy="809625"/>
                <wp:effectExtent b="0" l="0" r="0" t="0"/>
                <wp:wrapSquare wrapText="bothSides" distB="0" distT="0" distL="114300" distR="11430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6C">
          <w:pPr>
            <w:keepNext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rFonts w:ascii="Arial" w:cs="Arial" w:eastAsia="Arial" w:hAnsi="Arial"/>
              <w:b w:val="1"/>
              <w:color w:val="333333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333333"/>
              <w:sz w:val="20"/>
              <w:szCs w:val="20"/>
              <w:rtl w:val="0"/>
            </w:rPr>
            <w:t xml:space="preserve">CRITERIS D'AVALUACIÓ</w:t>
          </w:r>
        </w:p>
      </w:tc>
    </w:tr>
    <w:tr>
      <w:trPr>
        <w:cantSplit w:val="0"/>
        <w:trHeight w:val="24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333333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F">
          <w:pPr>
            <w:rPr>
              <w:rFonts w:ascii="Arial" w:cs="Arial" w:eastAsia="Arial" w:hAnsi="Arial"/>
              <w:color w:val="333333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rtl w:val="0"/>
            </w:rPr>
            <w:t xml:space="preserve">Departament</w:t>
          </w:r>
        </w:p>
      </w:tc>
      <w:tc>
        <w:tcPr>
          <w:vAlign w:val="center"/>
        </w:tcPr>
        <w:p w:rsidR="00000000" w:rsidDel="00000000" w:rsidP="00000000" w:rsidRDefault="00000000" w:rsidRPr="00000000" w14:paraId="00000070">
          <w:pPr>
            <w:rPr>
              <w:rFonts w:ascii="Arial" w:cs="Arial" w:eastAsia="Arial" w:hAnsi="Arial"/>
              <w:color w:val="333333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rtl w:val="0"/>
            </w:rPr>
            <w:t xml:space="preserve">Biologia </w:t>
          </w:r>
        </w:p>
      </w:tc>
    </w:tr>
    <w:tr>
      <w:trPr>
        <w:cantSplit w:val="0"/>
        <w:trHeight w:val="40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333333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2">
          <w:pPr>
            <w:rPr>
              <w:rFonts w:ascii="Arial" w:cs="Arial" w:eastAsia="Arial" w:hAnsi="Arial"/>
              <w:color w:val="333333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rtl w:val="0"/>
            </w:rPr>
            <w:t xml:space="preserve">ESO</w:t>
          </w:r>
        </w:p>
      </w:tc>
      <w:tc>
        <w:tcPr>
          <w:vAlign w:val="center"/>
        </w:tcPr>
        <w:p w:rsidR="00000000" w:rsidDel="00000000" w:rsidP="00000000" w:rsidRDefault="00000000" w:rsidRPr="00000000" w14:paraId="00000073">
          <w:pPr>
            <w:rPr>
              <w:rFonts w:ascii="Arial" w:cs="Arial" w:eastAsia="Arial" w:hAnsi="Arial"/>
              <w:color w:val="333333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rtl w:val="0"/>
            </w:rPr>
            <w:t xml:space="preserve">Àmbit científico-tecnològic</w:t>
          </w:r>
        </w:p>
      </w:tc>
    </w:tr>
  </w:tbl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74A70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74A70"/>
    <w:rPr>
      <w:rFonts w:ascii="Tahoma" w:cs="Tahoma" w:hAnsi="Tahoma"/>
      <w:sz w:val="16"/>
      <w:szCs w:val="16"/>
    </w:rPr>
  </w:style>
  <w:style w:type="table" w:styleId="a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YdJ6JJVsx7Ua2B69m2u9l0IILw==">CgMxLjAyCGguZ2pkZ3hzOAByITFOLXR0QUZjVkJiMTBzNEJOQ1NKU3VkQVRXTnlvSXA3bQ==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2022-09-06T19:02:00Z</dcterms:created>
  <dc:creator>Prof</dc:creator>
</cp:coreProperties>
</file>