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Buscar, analitzar i seleccionar la informació adequada, de manera crítica i segura, tot aplicant processos de recerca, mètodes d’anàlisi de productes i experimentant amb eines de simulació, per delimitar problemes tecnològics i proposar solucions a partir de la informació obtinguda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Planificar, dissenyar i desenvolupar solucions a problemes tecnològics amb autonomia i actitud creativa, tot aplicant el procés tecnològic, coneixements interdisciplinaris i treballant de manera ordenada i cooperativa, per resoldre problemes o necessitats de manera eficaç, innovadora i sostenible.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Aplicar de manera apropiada diferents tècniques i coneixements interdisciplinaris, tot utilitzant operadors, sistemes tecnològics i eines, seguint la planificació i el disseny sostenible previ per construir solucions tecnològiques que donin resposta a necessitats en diferents contextos.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Descriure, representar i intercanviar idees o solucions a problemes tecnològics o digitals, utilitzant els mitjans de representació, simbologia i vocabulari adequats, així com els instruments i els recursos disponibles, utilitzant les eines digitals per argumentar, comunicar i difondre informació.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Desenvolupar algorismes i aplicacions informàtiques en diferents entorns, tot aplicant els principis del pensament computacional i incorporant les tecnologies emergents, per resoldre problemes concrets, automatitzar processos i aplicar-los en sistemes de control o robòtica.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Utilitzar els fonaments del funcionament dels dispositius i de les aplicacions habituals de l’entorn digital d’aprenentatge, analitzant-ne els components i les funcions i ajustant-los a les necessitats per fer-ne un ús més eficient i segur, per detectar i resoldre problemes tècnics senzills.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ús ètic, sostenible i ecosocialment responsable de la tecnologia, identificant les repercussions i les aportacions, per valorar l’impacte del desenvolupament tecnològic a la societat i a l’entorn.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Desenvolupament dels projectes i/o pràctiques de taller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Tasques a casa (quan el professor ho consideri)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80%</w:t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Revisió del material (llibretes, llibres, portàtils, material de taller…) i observació del professor a l’aula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0" w:firstLine="0"/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- Observació del professor a l’aula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5%</w:t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lliurar tasques encomanades pel professor o superar algun tipus de prova escrita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9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F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D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63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6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Tecnologia i Digitalització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6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highlight w:val="yellow"/>
              <w:vertAlign w:val="baseline"/>
              <w:rtl w:val="0"/>
            </w:rPr>
            <w:t xml:space="preserve">XXX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mdjpZtN0QtwX1P+8jzoAZSMZjw==">CgMxLjA4AHIhMXpHcHluNUd6VjlMZEN6a1NDYzhzcnlQeWlTVTNsWVBo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2024-06-11T17:05:00Z</dcterms:created>
  <dc:creator>j&amp;n</dc:creator>
</cp:coreProperties>
</file>