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b w:val="0"/>
          <w:color w:val="70ad47"/>
          <w:sz w:val="22"/>
          <w:szCs w:val="22"/>
          <w:vertAlign w:val="baseline"/>
        </w:rPr>
      </w:pPr>
      <w:r w:rsidDel="00000000" w:rsidR="00000000" w:rsidRPr="00000000">
        <w:rPr>
          <w:rFonts w:ascii="Century Gothic" w:cs="Century Gothic" w:eastAsia="Century Gothic" w:hAnsi="Century Gothic"/>
          <w:b w:val="1"/>
          <w:color w:val="70ad47"/>
          <w:sz w:val="22"/>
          <w:szCs w:val="22"/>
          <w:vertAlign w:val="baseline"/>
          <w:rtl w:val="0"/>
        </w:rPr>
        <w:t xml:space="preserve">AVALUACIÓ ORDINÀRIA</w:t>
      </w:r>
      <w:r w:rsidDel="00000000" w:rsidR="00000000" w:rsidRPr="00000000">
        <w:rPr>
          <w:rtl w:val="0"/>
        </w:rPr>
      </w:r>
    </w:p>
    <w:p w:rsidR="00000000" w:rsidDel="00000000" w:rsidP="00000000" w:rsidRDefault="00000000" w:rsidRPr="00000000" w14:paraId="00000002">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60" w:before="240" w:line="240" w:lineRule="auto"/>
        <w:ind w:left="0" w:right="0" w:firstLine="0"/>
        <w:jc w:val="left"/>
        <w:rPr>
          <w:rFonts w:ascii="Century Gothic" w:cs="Century Gothic" w:eastAsia="Century Gothic" w:hAnsi="Century Gothic"/>
          <w:b w:val="1"/>
          <w:i w:val="0"/>
          <w:smallCaps w:val="0"/>
          <w:strike w:val="0"/>
          <w:color w:val="00b0f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b0f0"/>
          <w:sz w:val="22"/>
          <w:szCs w:val="22"/>
          <w:u w:val="none"/>
          <w:shd w:fill="auto" w:val="clear"/>
          <w:vertAlign w:val="baseline"/>
          <w:rtl w:val="0"/>
        </w:rPr>
        <w:t xml:space="preserve">Nota trimestral</w:t>
      </w:r>
    </w:p>
    <w:p w:rsidR="00000000" w:rsidDel="00000000" w:rsidP="00000000" w:rsidRDefault="00000000" w:rsidRPr="00000000" w14:paraId="00000003">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La nota final de la convocatòria trimestral s’obté a partir de les notes obtingudes en el treball de les competències específiques de la matèria seleccionades a continuació. </w:t>
      </w:r>
    </w:p>
    <w:p w:rsidR="00000000" w:rsidDel="00000000" w:rsidP="00000000" w:rsidRDefault="00000000" w:rsidRPr="00000000" w14:paraId="00000004">
      <w:pPr>
        <w:jc w:val="both"/>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05">
      <w:pPr>
        <w:jc w:val="both"/>
        <w:rPr>
          <w:rFonts w:ascii="Century Gothic" w:cs="Century Gothic" w:eastAsia="Century Gothic" w:hAnsi="Century Gothic"/>
          <w:color w:val="222222"/>
          <w:sz w:val="22"/>
          <w:szCs w:val="22"/>
          <w:highlight w:val="white"/>
          <w:vertAlign w:val="baseline"/>
        </w:rPr>
      </w:pPr>
      <w:r w:rsidDel="00000000" w:rsidR="00000000" w:rsidRPr="00000000">
        <w:rPr>
          <w:rFonts w:ascii="Century Gothic" w:cs="Century Gothic" w:eastAsia="Century Gothic" w:hAnsi="Century Gothic"/>
          <w:sz w:val="22"/>
          <w:szCs w:val="22"/>
          <w:vertAlign w:val="baseline"/>
          <w:rtl w:val="0"/>
        </w:rPr>
        <w:t xml:space="preserve">De caràcter general, els instruments d’avaluació seran diferents, preveuran </w:t>
      </w:r>
      <w:r w:rsidDel="00000000" w:rsidR="00000000" w:rsidRPr="00000000">
        <w:rPr>
          <w:rFonts w:ascii="Century Gothic" w:cs="Century Gothic" w:eastAsia="Century Gothic" w:hAnsi="Century Gothic"/>
          <w:color w:val="222222"/>
          <w:sz w:val="22"/>
          <w:szCs w:val="22"/>
          <w:highlight w:val="white"/>
          <w:vertAlign w:val="baseline"/>
          <w:rtl w:val="0"/>
        </w:rPr>
        <w:t xml:space="preserve">l'autoavaluació i la co-avaluació d’alumnat i garantiran un seguiment continu de cada alumne/a al llarg del procés d'aprenentatge.</w:t>
      </w:r>
    </w:p>
    <w:p w:rsidR="00000000" w:rsidDel="00000000" w:rsidP="00000000" w:rsidRDefault="00000000" w:rsidRPr="00000000" w14:paraId="00000006">
      <w:pPr>
        <w:jc w:val="both"/>
        <w:rPr>
          <w:rFonts w:ascii="Century Gothic" w:cs="Century Gothic" w:eastAsia="Century Gothic" w:hAnsi="Century Gothic"/>
          <w:sz w:val="22"/>
          <w:szCs w:val="22"/>
        </w:rPr>
      </w:pPr>
      <w:r w:rsidDel="00000000" w:rsidR="00000000" w:rsidRPr="00000000">
        <w:rPr>
          <w:rtl w:val="0"/>
        </w:rPr>
      </w:r>
    </w:p>
    <w:tbl>
      <w:tblPr>
        <w:tblStyle w:val="Table1"/>
        <w:tblpPr w:leftFromText="180" w:rightFromText="180" w:topFromText="180" w:bottomFromText="180" w:vertAnchor="text" w:horzAnchor="text" w:tblpX="-332.9999999999996" w:tblpY="0"/>
        <w:tblW w:w="98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87"/>
        <w:gridCol w:w="1263"/>
        <w:tblGridChange w:id="0">
          <w:tblGrid>
            <w:gridCol w:w="8587"/>
            <w:gridCol w:w="1263"/>
          </w:tblGrid>
        </w:tblGridChange>
      </w:tblGrid>
      <w:tr>
        <w:trPr>
          <w:cantSplit w:val="0"/>
          <w:trHeight w:val="807" w:hRule="atLeast"/>
          <w:tblHeader w:val="0"/>
        </w:trPr>
        <w:tc>
          <w:tcPr>
            <w:shd w:fill="92d050" w:val="clear"/>
            <w:vAlign w:val="center"/>
          </w:tcPr>
          <w:p w:rsidR="00000000" w:rsidDel="00000000" w:rsidP="00000000" w:rsidRDefault="00000000" w:rsidRPr="00000000" w14:paraId="00000007">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color w:val="ffffff"/>
                <w:sz w:val="22"/>
                <w:szCs w:val="22"/>
              </w:rPr>
            </w:pPr>
            <w:r w:rsidDel="00000000" w:rsidR="00000000" w:rsidRPr="00000000">
              <w:rPr>
                <w:rFonts w:ascii="Century Gothic" w:cs="Century Gothic" w:eastAsia="Century Gothic" w:hAnsi="Century Gothic"/>
                <w:b w:val="1"/>
                <w:color w:val="ffffff"/>
                <w:sz w:val="22"/>
                <w:szCs w:val="22"/>
                <w:rtl w:val="0"/>
              </w:rPr>
              <w:t xml:space="preserve">COMPETÈNCIES ESPECÍFIQUES MATÈRIA </w:t>
            </w:r>
            <w:r w:rsidDel="00000000" w:rsidR="00000000" w:rsidRPr="00000000">
              <w:rPr>
                <w:rtl w:val="0"/>
              </w:rPr>
            </w:r>
          </w:p>
        </w:tc>
        <w:tc>
          <w:tcPr>
            <w:shd w:fill="92d050" w:val="clear"/>
            <w:vAlign w:val="center"/>
          </w:tcPr>
          <w:p w:rsidR="00000000" w:rsidDel="00000000" w:rsidP="00000000" w:rsidRDefault="00000000" w:rsidRPr="00000000" w14:paraId="00000008">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color w:val="ffffff"/>
                <w:sz w:val="22"/>
                <w:szCs w:val="22"/>
              </w:rPr>
            </w:pPr>
            <w:r w:rsidDel="00000000" w:rsidR="00000000" w:rsidRPr="00000000">
              <w:rPr>
                <w:rFonts w:ascii="Century Gothic" w:cs="Century Gothic" w:eastAsia="Century Gothic" w:hAnsi="Century Gothic"/>
                <w:b w:val="1"/>
                <w:color w:val="ffffff"/>
                <w:sz w:val="22"/>
                <w:szCs w:val="22"/>
                <w:rtl w:val="0"/>
              </w:rPr>
              <w:t xml:space="preserve">SELECCIÓ</w:t>
            </w:r>
            <w:r w:rsidDel="00000000" w:rsidR="00000000" w:rsidRPr="00000000">
              <w:rPr>
                <w:rtl w:val="0"/>
              </w:rPr>
            </w:r>
          </w:p>
        </w:tc>
      </w:tr>
      <w:tr>
        <w:trPr>
          <w:cantSplit w:val="0"/>
          <w:trHeight w:val="509" w:hRule="atLeast"/>
          <w:tblHeader w:val="0"/>
        </w:trPr>
        <w:tc>
          <w:tcPr>
            <w:shd w:fill="e2efd9" w:val="clear"/>
          </w:tcPr>
          <w:p w:rsidR="00000000" w:rsidDel="00000000" w:rsidP="00000000" w:rsidRDefault="00000000" w:rsidRPr="00000000" w14:paraId="00000009">
            <w:pPr>
              <w:spacing w:after="150" w:lineRule="auto"/>
              <w:rPr>
                <w:rFonts w:ascii="Century Gothic" w:cs="Century Gothic" w:eastAsia="Century Gothic" w:hAnsi="Century Gothic"/>
                <w:color w:val="333333"/>
                <w:sz w:val="16"/>
                <w:szCs w:val="16"/>
              </w:rPr>
            </w:pPr>
            <w:r w:rsidDel="00000000" w:rsidR="00000000" w:rsidRPr="00000000">
              <w:rPr>
                <w:rFonts w:ascii="Century Gothic" w:cs="Century Gothic" w:eastAsia="Century Gothic" w:hAnsi="Century Gothic"/>
                <w:b w:val="1"/>
                <w:color w:val="333333"/>
                <w:sz w:val="16"/>
                <w:szCs w:val="16"/>
                <w:rtl w:val="0"/>
              </w:rPr>
              <w:t xml:space="preserve">Competència específica 1.</w:t>
            </w:r>
            <w:r w:rsidDel="00000000" w:rsidR="00000000" w:rsidRPr="00000000">
              <w:rPr>
                <w:b w:val="1"/>
                <w:sz w:val="20"/>
                <w:szCs w:val="20"/>
                <w:rtl w:val="0"/>
              </w:rPr>
              <w:t xml:space="preserve"> </w:t>
            </w:r>
            <w:r w:rsidDel="00000000" w:rsidR="00000000" w:rsidRPr="00000000">
              <w:rPr>
                <w:rFonts w:ascii="Century Gothic" w:cs="Century Gothic" w:eastAsia="Century Gothic" w:hAnsi="Century Gothic"/>
                <w:i w:val="1"/>
                <w:color w:val="333333"/>
                <w:sz w:val="16"/>
                <w:szCs w:val="16"/>
                <w:rtl w:val="0"/>
              </w:rPr>
              <w:t xml:space="preserve">Interpretar, comunicar informació i dades procedents de treballs científics, i argumentar amb precisió i utilitzant diferents formats, per analitzar conceptes, processos, mètodes, experiments o resultats de les ciències biològiques.</w:t>
            </w:r>
            <w:r w:rsidDel="00000000" w:rsidR="00000000" w:rsidRPr="00000000">
              <w:rPr>
                <w:rtl w:val="0"/>
              </w:rPr>
            </w:r>
          </w:p>
        </w:tc>
        <w:tc>
          <w:tcPr>
            <w:vAlign w:val="center"/>
          </w:tcPr>
          <w:p w:rsidR="00000000" w:rsidDel="00000000" w:rsidP="00000000" w:rsidRDefault="00000000" w:rsidRPr="00000000" w14:paraId="0000000A">
            <w:pPr>
              <w:spacing w:after="150" w:lineRule="auto"/>
              <w:jc w:val="center"/>
              <w:rPr>
                <w:rFonts w:ascii="Century Gothic" w:cs="Century Gothic" w:eastAsia="Century Gothic" w:hAnsi="Century Gothic"/>
                <w:b w:val="1"/>
                <w:color w:val="333333"/>
                <w:sz w:val="16"/>
                <w:szCs w:val="16"/>
              </w:rPr>
            </w:pPr>
            <w:r w:rsidDel="00000000" w:rsidR="00000000" w:rsidRPr="00000000">
              <w:rPr>
                <w:rFonts w:ascii="Century Gothic" w:cs="Century Gothic" w:eastAsia="Century Gothic" w:hAnsi="Century Gothic"/>
                <w:b w:val="1"/>
                <w:color w:val="333333"/>
                <w:sz w:val="16"/>
                <w:szCs w:val="16"/>
                <w:rtl w:val="0"/>
              </w:rPr>
              <w:t xml:space="preserve">x</w:t>
            </w:r>
          </w:p>
        </w:tc>
      </w:tr>
      <w:tr>
        <w:trPr>
          <w:cantSplit w:val="0"/>
          <w:trHeight w:val="693" w:hRule="atLeast"/>
          <w:tblHeader w:val="0"/>
        </w:trPr>
        <w:tc>
          <w:tcPr>
            <w:shd w:fill="e2efd9" w:val="clear"/>
          </w:tcPr>
          <w:p w:rsidR="00000000" w:rsidDel="00000000" w:rsidP="00000000" w:rsidRDefault="00000000" w:rsidRPr="00000000" w14:paraId="0000000B">
            <w:pPr>
              <w:spacing w:after="150" w:lineRule="auto"/>
              <w:rPr>
                <w:rFonts w:ascii="Century Gothic" w:cs="Century Gothic" w:eastAsia="Century Gothic" w:hAnsi="Century Gothic"/>
                <w:color w:val="333333"/>
                <w:sz w:val="16"/>
                <w:szCs w:val="16"/>
              </w:rPr>
            </w:pPr>
            <w:r w:rsidDel="00000000" w:rsidR="00000000" w:rsidRPr="00000000">
              <w:rPr>
                <w:rFonts w:ascii="Century Gothic" w:cs="Century Gothic" w:eastAsia="Century Gothic" w:hAnsi="Century Gothic"/>
                <w:b w:val="1"/>
                <w:color w:val="333333"/>
                <w:sz w:val="16"/>
                <w:szCs w:val="16"/>
                <w:rtl w:val="0"/>
              </w:rPr>
              <w:t xml:space="preserve">Competència específica 2. </w:t>
            </w:r>
            <w:r w:rsidDel="00000000" w:rsidR="00000000" w:rsidRPr="00000000">
              <w:rPr>
                <w:rFonts w:ascii="Century Gothic" w:cs="Century Gothic" w:eastAsia="Century Gothic" w:hAnsi="Century Gothic"/>
                <w:i w:val="1"/>
                <w:color w:val="333333"/>
                <w:sz w:val="16"/>
                <w:szCs w:val="16"/>
                <w:rtl w:val="0"/>
              </w:rPr>
              <w:t xml:space="preserve">Identificar, seleccionar, organitzar i avaluar críticament informació, contrastant-ne la fiabilitat per resoldre preguntes plantejades de manera autònoma i crear continguts relacionats amb les ciències biològiques.</w:t>
            </w:r>
            <w:r w:rsidDel="00000000" w:rsidR="00000000" w:rsidRPr="00000000">
              <w:rPr>
                <w:rtl w:val="0"/>
              </w:rPr>
            </w:r>
          </w:p>
        </w:tc>
        <w:tc>
          <w:tcPr>
            <w:vAlign w:val="center"/>
          </w:tcPr>
          <w:p w:rsidR="00000000" w:rsidDel="00000000" w:rsidP="00000000" w:rsidRDefault="00000000" w:rsidRPr="00000000" w14:paraId="0000000C">
            <w:pPr>
              <w:spacing w:after="150" w:lineRule="auto"/>
              <w:jc w:val="center"/>
              <w:rPr>
                <w:rFonts w:ascii="Century Gothic" w:cs="Century Gothic" w:eastAsia="Century Gothic" w:hAnsi="Century Gothic"/>
                <w:b w:val="1"/>
                <w:color w:val="333333"/>
                <w:sz w:val="16"/>
                <w:szCs w:val="16"/>
              </w:rPr>
            </w:pPr>
            <w:r w:rsidDel="00000000" w:rsidR="00000000" w:rsidRPr="00000000">
              <w:rPr>
                <w:rFonts w:ascii="Century Gothic" w:cs="Century Gothic" w:eastAsia="Century Gothic" w:hAnsi="Century Gothic"/>
                <w:b w:val="1"/>
                <w:color w:val="333333"/>
                <w:sz w:val="16"/>
                <w:szCs w:val="16"/>
                <w:rtl w:val="0"/>
              </w:rPr>
              <w:t xml:space="preserve">x</w:t>
            </w:r>
          </w:p>
        </w:tc>
      </w:tr>
      <w:tr>
        <w:trPr>
          <w:cantSplit w:val="0"/>
          <w:trHeight w:val="402" w:hRule="atLeast"/>
          <w:tblHeader w:val="0"/>
        </w:trPr>
        <w:tc>
          <w:tcPr>
            <w:shd w:fill="e2efd9" w:val="clear"/>
          </w:tcPr>
          <w:p w:rsidR="00000000" w:rsidDel="00000000" w:rsidP="00000000" w:rsidRDefault="00000000" w:rsidRPr="00000000" w14:paraId="0000000D">
            <w:pPr>
              <w:spacing w:after="150" w:lineRule="auto"/>
              <w:jc w:val="both"/>
              <w:rPr>
                <w:rFonts w:ascii="Century Gothic" w:cs="Century Gothic" w:eastAsia="Century Gothic" w:hAnsi="Century Gothic"/>
                <w:color w:val="333333"/>
                <w:sz w:val="16"/>
                <w:szCs w:val="16"/>
              </w:rPr>
            </w:pPr>
            <w:r w:rsidDel="00000000" w:rsidR="00000000" w:rsidRPr="00000000">
              <w:rPr>
                <w:rFonts w:ascii="Century Gothic" w:cs="Century Gothic" w:eastAsia="Century Gothic" w:hAnsi="Century Gothic"/>
                <w:b w:val="1"/>
                <w:color w:val="333333"/>
                <w:sz w:val="16"/>
                <w:szCs w:val="16"/>
                <w:rtl w:val="0"/>
              </w:rPr>
              <w:t xml:space="preserve">Competència específica 3. </w:t>
            </w:r>
            <w:r w:rsidDel="00000000" w:rsidR="00000000" w:rsidRPr="00000000">
              <w:rPr>
                <w:rFonts w:ascii="Century Gothic" w:cs="Century Gothic" w:eastAsia="Century Gothic" w:hAnsi="Century Gothic"/>
                <w:i w:val="1"/>
                <w:sz w:val="16"/>
                <w:szCs w:val="16"/>
                <w:rtl w:val="0"/>
              </w:rPr>
              <w:t xml:space="preserve">Dissenyar i desenvolupar projectes de recerca relacionats amb la biologia i analitzar críticament els resultats d’aquests projectes i de treballs d’investigació i divulgació, comprovant si segueixen els passos de la metodologia científica, per avaluar la fiabilitat de les conclusions.</w:t>
            </w:r>
            <w:r w:rsidDel="00000000" w:rsidR="00000000" w:rsidRPr="00000000">
              <w:rPr>
                <w:rtl w:val="0"/>
              </w:rPr>
            </w:r>
          </w:p>
        </w:tc>
        <w:tc>
          <w:tcPr>
            <w:vAlign w:val="center"/>
          </w:tcPr>
          <w:p w:rsidR="00000000" w:rsidDel="00000000" w:rsidP="00000000" w:rsidRDefault="00000000" w:rsidRPr="00000000" w14:paraId="0000000E">
            <w:pPr>
              <w:spacing w:after="150" w:lineRule="auto"/>
              <w:jc w:val="center"/>
              <w:rPr>
                <w:rFonts w:ascii="Century Gothic" w:cs="Century Gothic" w:eastAsia="Century Gothic" w:hAnsi="Century Gothic"/>
                <w:b w:val="1"/>
                <w:color w:val="333333"/>
                <w:sz w:val="16"/>
                <w:szCs w:val="16"/>
              </w:rPr>
            </w:pPr>
            <w:r w:rsidDel="00000000" w:rsidR="00000000" w:rsidRPr="00000000">
              <w:rPr>
                <w:rFonts w:ascii="Century Gothic" w:cs="Century Gothic" w:eastAsia="Century Gothic" w:hAnsi="Century Gothic"/>
                <w:b w:val="1"/>
                <w:color w:val="333333"/>
                <w:sz w:val="16"/>
                <w:szCs w:val="16"/>
                <w:rtl w:val="0"/>
              </w:rPr>
              <w:t xml:space="preserve">x</w:t>
            </w:r>
          </w:p>
        </w:tc>
      </w:tr>
      <w:tr>
        <w:trPr>
          <w:cantSplit w:val="0"/>
          <w:trHeight w:val="668" w:hRule="atLeast"/>
          <w:tblHeader w:val="0"/>
        </w:trPr>
        <w:tc>
          <w:tcPr>
            <w:shd w:fill="e2efd9" w:val="clear"/>
          </w:tcPr>
          <w:p w:rsidR="00000000" w:rsidDel="00000000" w:rsidP="00000000" w:rsidRDefault="00000000" w:rsidRPr="00000000" w14:paraId="0000000F">
            <w:pPr>
              <w:spacing w:after="150" w:lineRule="auto"/>
              <w:jc w:val="both"/>
              <w:rPr>
                <w:rFonts w:ascii="Century Gothic" w:cs="Century Gothic" w:eastAsia="Century Gothic" w:hAnsi="Century Gothic"/>
                <w:color w:val="333333"/>
                <w:sz w:val="16"/>
                <w:szCs w:val="16"/>
              </w:rPr>
            </w:pPr>
            <w:r w:rsidDel="00000000" w:rsidR="00000000" w:rsidRPr="00000000">
              <w:rPr>
                <w:rFonts w:ascii="Century Gothic" w:cs="Century Gothic" w:eastAsia="Century Gothic" w:hAnsi="Century Gothic"/>
                <w:b w:val="1"/>
                <w:color w:val="333333"/>
                <w:sz w:val="16"/>
                <w:szCs w:val="16"/>
                <w:rtl w:val="0"/>
              </w:rPr>
              <w:t xml:space="preserve">Competència específica 4. </w:t>
            </w:r>
            <w:r w:rsidDel="00000000" w:rsidR="00000000" w:rsidRPr="00000000">
              <w:rPr>
                <w:rFonts w:ascii="Century Gothic" w:cs="Century Gothic" w:eastAsia="Century Gothic" w:hAnsi="Century Gothic"/>
                <w:i w:val="1"/>
                <w:sz w:val="16"/>
                <w:szCs w:val="16"/>
                <w:rtl w:val="0"/>
              </w:rPr>
              <w:t xml:space="preserve">Aplicar els aprenentatges de manera integrada i les diverses formes de raonament pròpies de la ciència, per plantejar i resoldre problemes relacionats amb les ciències biològiques, cercant i utilitzant les estratègies adequades, analitzant críticament les solucions i reformulant el procediment, si calgués. </w:t>
            </w:r>
            <w:r w:rsidDel="00000000" w:rsidR="00000000" w:rsidRPr="00000000">
              <w:rPr>
                <w:rtl w:val="0"/>
              </w:rPr>
            </w:r>
          </w:p>
        </w:tc>
        <w:tc>
          <w:tcPr>
            <w:vAlign w:val="center"/>
          </w:tcPr>
          <w:p w:rsidR="00000000" w:rsidDel="00000000" w:rsidP="00000000" w:rsidRDefault="00000000" w:rsidRPr="00000000" w14:paraId="00000010">
            <w:pPr>
              <w:spacing w:after="150" w:lineRule="auto"/>
              <w:jc w:val="center"/>
              <w:rPr>
                <w:rFonts w:ascii="Century Gothic" w:cs="Century Gothic" w:eastAsia="Century Gothic" w:hAnsi="Century Gothic"/>
                <w:b w:val="1"/>
                <w:color w:val="333333"/>
                <w:sz w:val="16"/>
                <w:szCs w:val="16"/>
              </w:rPr>
            </w:pPr>
            <w:r w:rsidDel="00000000" w:rsidR="00000000" w:rsidRPr="00000000">
              <w:rPr>
                <w:rFonts w:ascii="Century Gothic" w:cs="Century Gothic" w:eastAsia="Century Gothic" w:hAnsi="Century Gothic"/>
                <w:b w:val="1"/>
                <w:color w:val="333333"/>
                <w:sz w:val="16"/>
                <w:szCs w:val="16"/>
                <w:rtl w:val="0"/>
              </w:rPr>
              <w:t xml:space="preserve">x</w:t>
            </w:r>
          </w:p>
        </w:tc>
      </w:tr>
      <w:tr>
        <w:trPr>
          <w:cantSplit w:val="0"/>
          <w:trHeight w:val="402" w:hRule="atLeast"/>
          <w:tblHeader w:val="0"/>
        </w:trPr>
        <w:tc>
          <w:tcPr>
            <w:shd w:fill="e2efd9" w:val="clear"/>
          </w:tcPr>
          <w:p w:rsidR="00000000" w:rsidDel="00000000" w:rsidP="00000000" w:rsidRDefault="00000000" w:rsidRPr="00000000" w14:paraId="00000011">
            <w:pPr>
              <w:spacing w:after="150" w:lineRule="auto"/>
              <w:jc w:val="both"/>
              <w:rPr>
                <w:rFonts w:ascii="Century Gothic" w:cs="Century Gothic" w:eastAsia="Century Gothic" w:hAnsi="Century Gothic"/>
                <w:color w:val="333333"/>
                <w:sz w:val="16"/>
                <w:szCs w:val="16"/>
              </w:rPr>
            </w:pPr>
            <w:r w:rsidDel="00000000" w:rsidR="00000000" w:rsidRPr="00000000">
              <w:rPr>
                <w:rFonts w:ascii="Century Gothic" w:cs="Century Gothic" w:eastAsia="Century Gothic" w:hAnsi="Century Gothic"/>
                <w:b w:val="1"/>
                <w:color w:val="333333"/>
                <w:sz w:val="16"/>
                <w:szCs w:val="16"/>
                <w:rtl w:val="0"/>
              </w:rPr>
              <w:t xml:space="preserve">Competència específica 5. </w:t>
            </w:r>
            <w:r w:rsidDel="00000000" w:rsidR="00000000" w:rsidRPr="00000000">
              <w:rPr>
                <w:rFonts w:ascii="Century Gothic" w:cs="Century Gothic" w:eastAsia="Century Gothic" w:hAnsi="Century Gothic"/>
                <w:i w:val="1"/>
                <w:sz w:val="16"/>
                <w:szCs w:val="16"/>
                <w:rtl w:val="0"/>
              </w:rPr>
              <w:t xml:space="preserve">Dissenyar, promoure i executar iniciatives de conservació del medi ambient basades en fonaments científics i analitzar els impactes d’activitats humanes sobre el medi ambient o la disponibilitat de recursos, a partir d’observacions de camp i d’informació en diferents formats per promoure i adoptar hàbits compatibles amb el desenvolupament sostenible.</w:t>
            </w:r>
            <w:r w:rsidDel="00000000" w:rsidR="00000000" w:rsidRPr="00000000">
              <w:rPr>
                <w:rtl w:val="0"/>
              </w:rPr>
            </w:r>
          </w:p>
        </w:tc>
        <w:tc>
          <w:tcPr>
            <w:vAlign w:val="center"/>
          </w:tcPr>
          <w:p w:rsidR="00000000" w:rsidDel="00000000" w:rsidP="00000000" w:rsidRDefault="00000000" w:rsidRPr="00000000" w14:paraId="00000012">
            <w:pPr>
              <w:spacing w:after="150" w:lineRule="auto"/>
              <w:jc w:val="center"/>
              <w:rPr>
                <w:rFonts w:ascii="Century Gothic" w:cs="Century Gothic" w:eastAsia="Century Gothic" w:hAnsi="Century Gothic"/>
                <w:b w:val="1"/>
                <w:color w:val="333333"/>
                <w:sz w:val="16"/>
                <w:szCs w:val="16"/>
              </w:rPr>
            </w:pPr>
            <w:r w:rsidDel="00000000" w:rsidR="00000000" w:rsidRPr="00000000">
              <w:rPr>
                <w:rFonts w:ascii="Century Gothic" w:cs="Century Gothic" w:eastAsia="Century Gothic" w:hAnsi="Century Gothic"/>
                <w:b w:val="1"/>
                <w:color w:val="333333"/>
                <w:sz w:val="16"/>
                <w:szCs w:val="16"/>
                <w:rtl w:val="0"/>
              </w:rPr>
              <w:t xml:space="preserve">x</w:t>
            </w:r>
          </w:p>
        </w:tc>
      </w:tr>
      <w:tr>
        <w:trPr>
          <w:cantSplit w:val="0"/>
          <w:trHeight w:val="402" w:hRule="atLeast"/>
          <w:tblHeader w:val="0"/>
        </w:trPr>
        <w:tc>
          <w:tcPr>
            <w:shd w:fill="e2efd9" w:val="clear"/>
          </w:tcPr>
          <w:p w:rsidR="00000000" w:rsidDel="00000000" w:rsidP="00000000" w:rsidRDefault="00000000" w:rsidRPr="00000000" w14:paraId="00000013">
            <w:pPr>
              <w:spacing w:after="150" w:lineRule="auto"/>
              <w:jc w:val="both"/>
              <w:rPr>
                <w:rFonts w:ascii="Century Gothic" w:cs="Century Gothic" w:eastAsia="Century Gothic" w:hAnsi="Century Gothic"/>
                <w:color w:val="333333"/>
                <w:sz w:val="16"/>
                <w:szCs w:val="16"/>
              </w:rPr>
            </w:pPr>
            <w:r w:rsidDel="00000000" w:rsidR="00000000" w:rsidRPr="00000000">
              <w:rPr>
                <w:rFonts w:ascii="Century Gothic" w:cs="Century Gothic" w:eastAsia="Century Gothic" w:hAnsi="Century Gothic"/>
                <w:b w:val="1"/>
                <w:color w:val="333333"/>
                <w:sz w:val="16"/>
                <w:szCs w:val="16"/>
                <w:rtl w:val="0"/>
              </w:rPr>
              <w:t xml:space="preserve">Competència específica 6.</w:t>
            </w:r>
            <w:r w:rsidDel="00000000" w:rsidR="00000000" w:rsidRPr="00000000">
              <w:rPr>
                <w:sz w:val="20"/>
                <w:szCs w:val="20"/>
                <w:rtl w:val="0"/>
              </w:rPr>
              <w:t xml:space="preserve"> </w:t>
            </w:r>
            <w:r w:rsidDel="00000000" w:rsidR="00000000" w:rsidRPr="00000000">
              <w:rPr>
                <w:rFonts w:ascii="Century Gothic" w:cs="Century Gothic" w:eastAsia="Century Gothic" w:hAnsi="Century Gothic"/>
                <w:i w:val="1"/>
                <w:sz w:val="16"/>
                <w:szCs w:val="16"/>
                <w:rtl w:val="0"/>
              </w:rPr>
              <w:t xml:space="preserve">Descriure, integrar i relacionar els principals processos característics dels éssers vius per justificar la complexitat de la vida i desmarcar-la del que és inert.</w:t>
            </w:r>
            <w:r w:rsidDel="00000000" w:rsidR="00000000" w:rsidRPr="00000000">
              <w:rPr>
                <w:rtl w:val="0"/>
              </w:rPr>
            </w:r>
          </w:p>
        </w:tc>
        <w:tc>
          <w:tcPr>
            <w:vAlign w:val="center"/>
          </w:tcPr>
          <w:p w:rsidR="00000000" w:rsidDel="00000000" w:rsidP="00000000" w:rsidRDefault="00000000" w:rsidRPr="00000000" w14:paraId="00000014">
            <w:pPr>
              <w:spacing w:after="150" w:lineRule="auto"/>
              <w:jc w:val="center"/>
              <w:rPr>
                <w:rFonts w:ascii="Century Gothic" w:cs="Century Gothic" w:eastAsia="Century Gothic" w:hAnsi="Century Gothic"/>
                <w:b w:val="1"/>
                <w:color w:val="333333"/>
                <w:sz w:val="16"/>
                <w:szCs w:val="16"/>
              </w:rPr>
            </w:pPr>
            <w:r w:rsidDel="00000000" w:rsidR="00000000" w:rsidRPr="00000000">
              <w:rPr>
                <w:rFonts w:ascii="Century Gothic" w:cs="Century Gothic" w:eastAsia="Century Gothic" w:hAnsi="Century Gothic"/>
                <w:b w:val="1"/>
                <w:color w:val="333333"/>
                <w:sz w:val="16"/>
                <w:szCs w:val="16"/>
                <w:rtl w:val="0"/>
              </w:rPr>
              <w:t xml:space="preserve">x</w:t>
            </w:r>
          </w:p>
        </w:tc>
      </w:tr>
    </w:tbl>
    <w:p w:rsidR="00000000" w:rsidDel="00000000" w:rsidP="00000000" w:rsidRDefault="00000000" w:rsidRPr="00000000" w14:paraId="00000015">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tbl>
      <w:tblPr>
        <w:tblStyle w:val="Table2"/>
        <w:tblW w:w="106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26"/>
        <w:gridCol w:w="4098"/>
        <w:gridCol w:w="1941"/>
        <w:tblGridChange w:id="0">
          <w:tblGrid>
            <w:gridCol w:w="4626"/>
            <w:gridCol w:w="4098"/>
            <w:gridCol w:w="1941"/>
          </w:tblGrid>
        </w:tblGridChange>
      </w:tblGrid>
      <w:tr>
        <w:trPr>
          <w:cantSplit w:val="0"/>
          <w:trHeight w:val="718" w:hRule="atLeast"/>
          <w:tblHeader w:val="0"/>
        </w:trPr>
        <w:tc>
          <w:tcPr>
            <w:tcBorders>
              <w:top w:color="000000" w:space="0" w:sz="0" w:val="nil"/>
              <w:left w:color="000000" w:space="0" w:sz="0" w:val="nil"/>
              <w:bottom w:color="000000" w:space="0" w:sz="4" w:val="single"/>
              <w:right w:color="000000" w:space="0" w:sz="4" w:val="single"/>
            </w:tcBorders>
            <w:shd w:fill="ffffff" w:val="clear"/>
            <w:vAlign w:val="top"/>
          </w:tcPr>
          <w:p w:rsidR="00000000" w:rsidDel="00000000" w:rsidP="00000000" w:rsidRDefault="00000000" w:rsidRPr="00000000" w14:paraId="00000016">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b w:val="0"/>
                <w:color w:val="ffffff"/>
                <w:sz w:val="22"/>
                <w:szCs w:val="22"/>
                <w:vertAlign w:val="baseline"/>
              </w:rPr>
            </w:pPr>
            <w:r w:rsidDel="00000000" w:rsidR="00000000" w:rsidRPr="00000000">
              <w:rPr>
                <w:rtl w:val="0"/>
              </w:rPr>
            </w:r>
          </w:p>
        </w:tc>
        <w:tc>
          <w:tcPr>
            <w:tcBorders>
              <w:left w:color="000000" w:space="0" w:sz="4" w:val="single"/>
            </w:tcBorders>
            <w:shd w:fill="92d050" w:val="clear"/>
            <w:vAlign w:val="center"/>
          </w:tcPr>
          <w:p w:rsidR="00000000" w:rsidDel="00000000" w:rsidP="00000000" w:rsidRDefault="00000000" w:rsidRPr="00000000" w14:paraId="00000017">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b w:val="0"/>
                <w:color w:val="ffffff"/>
                <w:sz w:val="22"/>
                <w:szCs w:val="22"/>
                <w:vertAlign w:val="baseline"/>
              </w:rPr>
            </w:pPr>
            <w:r w:rsidDel="00000000" w:rsidR="00000000" w:rsidRPr="00000000">
              <w:rPr>
                <w:rFonts w:ascii="Century Gothic" w:cs="Century Gothic" w:eastAsia="Century Gothic" w:hAnsi="Century Gothic"/>
                <w:b w:val="1"/>
                <w:color w:val="ffffff"/>
                <w:sz w:val="22"/>
                <w:szCs w:val="22"/>
                <w:vertAlign w:val="baseline"/>
                <w:rtl w:val="0"/>
              </w:rPr>
              <w:t xml:space="preserve">INSTRUMENTS D’AVALUACIÓ</w:t>
            </w:r>
            <w:r w:rsidDel="00000000" w:rsidR="00000000" w:rsidRPr="00000000">
              <w:rPr>
                <w:rtl w:val="0"/>
              </w:rPr>
            </w:r>
          </w:p>
        </w:tc>
        <w:tc>
          <w:tcPr>
            <w:shd w:fill="92d050" w:val="clear"/>
            <w:vAlign w:val="center"/>
          </w:tcPr>
          <w:p w:rsidR="00000000" w:rsidDel="00000000" w:rsidP="00000000" w:rsidRDefault="00000000" w:rsidRPr="00000000" w14:paraId="00000018">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b w:val="0"/>
                <w:color w:val="ffffff"/>
                <w:sz w:val="22"/>
                <w:szCs w:val="22"/>
                <w:vertAlign w:val="baseline"/>
              </w:rPr>
            </w:pPr>
            <w:r w:rsidDel="00000000" w:rsidR="00000000" w:rsidRPr="00000000">
              <w:rPr>
                <w:rFonts w:ascii="Century Gothic" w:cs="Century Gothic" w:eastAsia="Century Gothic" w:hAnsi="Century Gothic"/>
                <w:b w:val="1"/>
                <w:color w:val="ffffff"/>
                <w:sz w:val="22"/>
                <w:szCs w:val="22"/>
                <w:vertAlign w:val="baseline"/>
                <w:rtl w:val="0"/>
              </w:rPr>
              <w:t xml:space="preserve">PONDERACIONS</w:t>
            </w:r>
            <w:r w:rsidDel="00000000" w:rsidR="00000000" w:rsidRPr="00000000">
              <w:rPr>
                <w:rtl w:val="0"/>
              </w:rPr>
            </w:r>
          </w:p>
        </w:tc>
      </w:tr>
      <w:tr>
        <w:trPr>
          <w:cantSplit w:val="0"/>
          <w:trHeight w:val="711" w:hRule="atLeast"/>
          <w:tblHeader w:val="0"/>
        </w:trPr>
        <w:tc>
          <w:tcPr>
            <w:tcBorders>
              <w:top w:color="000000" w:space="0" w:sz="4" w:val="single"/>
            </w:tcBorders>
            <w:shd w:fill="e2efd9" w:val="clear"/>
            <w:vAlign w:val="center"/>
          </w:tcPr>
          <w:p w:rsidR="00000000" w:rsidDel="00000000" w:rsidP="00000000" w:rsidRDefault="00000000" w:rsidRPr="00000000" w14:paraId="00000019">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COMPETÈNCIES específiques de matèria treballades  aquest curs/nivell</w:t>
            </w:r>
            <w:r w:rsidDel="00000000" w:rsidR="00000000" w:rsidRPr="00000000">
              <w:rPr>
                <w:rtl w:val="0"/>
              </w:rPr>
            </w:r>
          </w:p>
        </w:tc>
        <w:tc>
          <w:tcPr>
            <w:vAlign w:val="top"/>
          </w:tcPr>
          <w:p w:rsidR="00000000" w:rsidDel="00000000" w:rsidP="00000000" w:rsidRDefault="00000000" w:rsidRPr="00000000" w14:paraId="0000001A">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Proves competencials</w:t>
            </w:r>
          </w:p>
          <w:p w:rsidR="00000000" w:rsidDel="00000000" w:rsidP="00000000" w:rsidRDefault="00000000" w:rsidRPr="00000000" w14:paraId="0000001B">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1C">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Rúbrica/Llista de comprovació del producte final de la SdA</w:t>
            </w:r>
          </w:p>
          <w:p w:rsidR="00000000" w:rsidDel="00000000" w:rsidP="00000000" w:rsidRDefault="00000000" w:rsidRPr="00000000" w14:paraId="0000001D">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Observació a l’aula i full de control del treball a l’aula i a casa</w:t>
            </w:r>
          </w:p>
        </w:tc>
        <w:tc>
          <w:tcPr>
            <w:vAlign w:val="top"/>
          </w:tcPr>
          <w:p w:rsidR="00000000" w:rsidDel="00000000" w:rsidP="00000000" w:rsidRDefault="00000000" w:rsidRPr="00000000" w14:paraId="0000001E">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60%</w:t>
            </w:r>
          </w:p>
          <w:p w:rsidR="00000000" w:rsidDel="00000000" w:rsidP="00000000" w:rsidRDefault="00000000" w:rsidRPr="00000000" w14:paraId="0000001F">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0">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30%</w:t>
            </w:r>
          </w:p>
          <w:p w:rsidR="00000000" w:rsidDel="00000000" w:rsidP="00000000" w:rsidRDefault="00000000" w:rsidRPr="00000000" w14:paraId="00000021">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2">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10%</w:t>
            </w:r>
          </w:p>
        </w:tc>
      </w:tr>
    </w:tbl>
    <w:p w:rsidR="00000000" w:rsidDel="00000000" w:rsidP="00000000" w:rsidRDefault="00000000" w:rsidRPr="00000000" w14:paraId="00000023">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i w:val="0"/>
          <w:sz w:val="22"/>
          <w:szCs w:val="22"/>
          <w:vertAlign w:val="baseline"/>
        </w:rPr>
      </w:pPr>
      <w:r w:rsidDel="00000000" w:rsidR="00000000" w:rsidRPr="00000000">
        <w:rPr>
          <w:rtl w:val="0"/>
        </w:rPr>
      </w:r>
    </w:p>
    <w:p w:rsidR="00000000" w:rsidDel="00000000" w:rsidP="00000000" w:rsidRDefault="00000000" w:rsidRPr="00000000" w14:paraId="00000024">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color w:val="00b0f0"/>
          <w:sz w:val="22"/>
          <w:szCs w:val="22"/>
          <w:vertAlign w:val="baseline"/>
        </w:rPr>
      </w:pPr>
      <w:r w:rsidDel="00000000" w:rsidR="00000000" w:rsidRPr="00000000">
        <w:rPr>
          <w:rFonts w:ascii="Century Gothic" w:cs="Century Gothic" w:eastAsia="Century Gothic" w:hAnsi="Century Gothic"/>
          <w:b w:val="1"/>
          <w:color w:val="00b0f0"/>
          <w:sz w:val="22"/>
          <w:szCs w:val="22"/>
          <w:vertAlign w:val="baseline"/>
          <w:rtl w:val="0"/>
        </w:rPr>
        <w:t xml:space="preserve">Observacions rellevants del instruments d’avaluació emprats.</w:t>
      </w:r>
      <w:r w:rsidDel="00000000" w:rsidR="00000000" w:rsidRPr="00000000">
        <w:rPr>
          <w:rtl w:val="0"/>
        </w:rPr>
      </w:r>
    </w:p>
    <w:p w:rsidR="00000000" w:rsidDel="00000000" w:rsidP="00000000" w:rsidRDefault="00000000" w:rsidRPr="00000000" w14:paraId="00000025">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i w:val="0"/>
          <w:sz w:val="22"/>
          <w:szCs w:val="22"/>
          <w:vertAlign w:val="baseline"/>
        </w:rPr>
      </w:pPr>
      <w:r w:rsidDel="00000000" w:rsidR="00000000" w:rsidRPr="00000000">
        <w:rPr>
          <w:rtl w:val="0"/>
        </w:rPr>
      </w:r>
    </w:p>
    <w:p w:rsidR="00000000" w:rsidDel="00000000" w:rsidP="00000000" w:rsidRDefault="00000000" w:rsidRPr="00000000" w14:paraId="00000026">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i w:val="0"/>
          <w:color w:val="ff2712"/>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Per aprovar el trimestre caldrà haver superat ≥50% la suma de les competències seleccionades.</w:t>
      </w:r>
      <w:r w:rsidDel="00000000" w:rsidR="00000000" w:rsidRPr="00000000">
        <w:rPr>
          <w:rtl w:val="0"/>
        </w:rPr>
      </w:r>
    </w:p>
    <w:p w:rsidR="00000000" w:rsidDel="00000000" w:rsidP="00000000" w:rsidRDefault="00000000" w:rsidRPr="00000000" w14:paraId="00000027">
      <w:pPr>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1"/>
          <w:color w:val="00b0f0"/>
          <w:sz w:val="22"/>
          <w:szCs w:val="22"/>
        </w:rPr>
      </w:pPr>
      <w:r w:rsidDel="00000000" w:rsidR="00000000" w:rsidRPr="00000000">
        <w:rPr>
          <w:rtl w:val="0"/>
        </w:rPr>
      </w:r>
    </w:p>
    <w:p w:rsidR="00000000" w:rsidDel="00000000" w:rsidP="00000000" w:rsidRDefault="00000000" w:rsidRPr="00000000" w14:paraId="00000028">
      <w:pPr>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1"/>
          <w:color w:val="00b0f0"/>
          <w:sz w:val="22"/>
          <w:szCs w:val="22"/>
        </w:rPr>
      </w:pPr>
      <w:r w:rsidDel="00000000" w:rsidR="00000000" w:rsidRPr="00000000">
        <w:rPr>
          <w:rFonts w:ascii="Century Gothic" w:cs="Century Gothic" w:eastAsia="Century Gothic" w:hAnsi="Century Gothic"/>
          <w:b w:val="1"/>
          <w:color w:val="00b0f0"/>
          <w:sz w:val="22"/>
          <w:szCs w:val="22"/>
          <w:rtl w:val="0"/>
        </w:rPr>
        <w:t xml:space="preserve">Activitats de recuperació</w:t>
      </w:r>
    </w:p>
    <w:p w:rsidR="00000000" w:rsidDel="00000000" w:rsidP="00000000" w:rsidRDefault="00000000" w:rsidRPr="00000000" w14:paraId="00000029">
      <w:pPr>
        <w:ind w:hanging="2"/>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Recuperacions: es pot recuperar un sol trimestre o tot el curs si l’alumne té pendent més d’un trimestre. </w:t>
      </w:r>
    </w:p>
    <w:p w:rsidR="00000000" w:rsidDel="00000000" w:rsidP="00000000" w:rsidRDefault="00000000" w:rsidRPr="00000000" w14:paraId="0000002A">
      <w:pPr>
        <w:widowControl w:val="0"/>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B">
      <w:pPr>
        <w:widowControl w:val="0"/>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Activitats per millorar la nota final:</w:t>
      </w:r>
    </w:p>
    <w:p w:rsidR="00000000" w:rsidDel="00000000" w:rsidP="00000000" w:rsidRDefault="00000000" w:rsidRPr="00000000" w14:paraId="0000002C">
      <w:pPr>
        <w:ind w:hanging="2"/>
        <w:rPr>
          <w:rFonts w:ascii="Century Gothic" w:cs="Century Gothic" w:eastAsia="Century Gothic" w:hAnsi="Century Gothic"/>
          <w:b w:val="1"/>
          <w:sz w:val="22"/>
          <w:szCs w:val="22"/>
        </w:rPr>
      </w:pPr>
      <w:r w:rsidDel="00000000" w:rsidR="00000000" w:rsidRPr="00000000">
        <w:rPr>
          <w:rFonts w:ascii="Century Gothic" w:cs="Century Gothic" w:eastAsia="Century Gothic" w:hAnsi="Century Gothic"/>
          <w:sz w:val="22"/>
          <w:szCs w:val="22"/>
          <w:rtl w:val="0"/>
        </w:rPr>
        <w:t xml:space="preserve">Per millorar  nota es farà un examen de totes les UD del curs que farà mitjana amb la nota global de tot el curs. Com a màxim la nota final pot incrementar un punt.</w:t>
      </w:r>
      <w:r w:rsidDel="00000000" w:rsidR="00000000" w:rsidRPr="00000000">
        <w:rPr>
          <w:rtl w:val="0"/>
        </w:rPr>
      </w:r>
    </w:p>
    <w:p w:rsidR="00000000" w:rsidDel="00000000" w:rsidP="00000000" w:rsidRDefault="00000000" w:rsidRPr="00000000" w14:paraId="0000002D">
      <w:pPr>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2E">
      <w:pPr>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AVALUACIÓ EXTRAORDINÀRIA </w:t>
      </w:r>
    </w:p>
    <w:p w:rsidR="00000000" w:rsidDel="00000000" w:rsidP="00000000" w:rsidRDefault="00000000" w:rsidRPr="00000000" w14:paraId="0000002F">
      <w:pPr>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Al mes de juny l’alumne/a que no hagi superat la matèria  haurà de:</w:t>
      </w:r>
    </w:p>
    <w:p w:rsidR="00000000" w:rsidDel="00000000" w:rsidP="00000000" w:rsidRDefault="00000000" w:rsidRPr="00000000" w14:paraId="00000030">
      <w:pPr>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31">
      <w:pPr>
        <w:numPr>
          <w:ilvl w:val="0"/>
          <w:numId w:val="1"/>
        </w:numPr>
        <w:ind w:left="720" w:hanging="360"/>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i w:val="1"/>
          <w:sz w:val="22"/>
          <w:szCs w:val="22"/>
          <w:rtl w:val="0"/>
        </w:rPr>
        <w:t xml:space="preserve">Fer una prova escrita de tota la matèria.</w:t>
      </w:r>
      <w:r w:rsidDel="00000000" w:rsidR="00000000" w:rsidRPr="00000000">
        <w:rPr>
          <w:rtl w:val="0"/>
        </w:rPr>
      </w:r>
    </w:p>
    <w:p w:rsidR="00000000" w:rsidDel="00000000" w:rsidP="00000000" w:rsidRDefault="00000000" w:rsidRPr="00000000" w14:paraId="00000032">
      <w:pPr>
        <w:ind w:left="720" w:firstLine="0"/>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33">
      <w:pPr>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Si el percentatge és ≥50% es considerarà superat el curs.</w:t>
      </w:r>
    </w:p>
    <w:p w:rsidR="00000000" w:rsidDel="00000000" w:rsidP="00000000" w:rsidRDefault="00000000" w:rsidRPr="00000000" w14:paraId="00000034">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35">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color w:val="00b0f0"/>
          <w:sz w:val="22"/>
          <w:szCs w:val="22"/>
          <w:vertAlign w:val="baseline"/>
        </w:rPr>
      </w:pPr>
      <w:r w:rsidDel="00000000" w:rsidR="00000000" w:rsidRPr="00000000">
        <w:rPr>
          <w:rFonts w:ascii="Century Gothic" w:cs="Century Gothic" w:eastAsia="Century Gothic" w:hAnsi="Century Gothic"/>
          <w:b w:val="1"/>
          <w:color w:val="00b0f0"/>
          <w:sz w:val="22"/>
          <w:szCs w:val="22"/>
          <w:vertAlign w:val="baseline"/>
          <w:rtl w:val="0"/>
        </w:rPr>
        <w:t xml:space="preserve">Justificació d’absència el dia d’una prova o examen. </w:t>
      </w:r>
      <w:r w:rsidDel="00000000" w:rsidR="00000000" w:rsidRPr="00000000">
        <w:rPr>
          <w:rtl w:val="0"/>
        </w:rPr>
      </w:r>
    </w:p>
    <w:p w:rsidR="00000000" w:rsidDel="00000000" w:rsidP="00000000" w:rsidRDefault="00000000" w:rsidRPr="00000000" w14:paraId="00000036">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color w:val="00b0f0"/>
          <w:sz w:val="22"/>
          <w:szCs w:val="22"/>
          <w:vertAlign w:val="baseline"/>
        </w:rPr>
      </w:pPr>
      <w:r w:rsidDel="00000000" w:rsidR="00000000" w:rsidRPr="00000000">
        <w:rPr>
          <w:rtl w:val="0"/>
        </w:rPr>
      </w:r>
    </w:p>
    <w:p w:rsidR="00000000" w:rsidDel="00000000" w:rsidP="00000000" w:rsidRDefault="00000000" w:rsidRPr="00000000" w14:paraId="00000037">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color w:val="000000"/>
          <w:sz w:val="22"/>
          <w:szCs w:val="22"/>
          <w:vertAlign w:val="baseline"/>
        </w:rPr>
      </w:pPr>
      <w:r w:rsidDel="00000000" w:rsidR="00000000" w:rsidRPr="00000000">
        <w:rPr>
          <w:rFonts w:ascii="Century Gothic" w:cs="Century Gothic" w:eastAsia="Century Gothic" w:hAnsi="Century Gothic"/>
          <w:color w:val="000000"/>
          <w:sz w:val="22"/>
          <w:szCs w:val="22"/>
          <w:vertAlign w:val="baseline"/>
          <w:rtl w:val="0"/>
        </w:rPr>
        <w:t xml:space="preserve">Si un alumne falta a un examen, cal que presenti certificat mèdic o justifiqui la seva absència en cas de força major. No es podrà repetir cap examen a un alumne/a sense que aquest justificant sigui lliurat al tutor/a, i a la vegada, comunicat a cap d’estudis i/o la coordinació de batxillerat.</w:t>
      </w:r>
    </w:p>
    <w:p w:rsidR="00000000" w:rsidDel="00000000" w:rsidP="00000000" w:rsidRDefault="00000000" w:rsidRPr="00000000" w14:paraId="00000038">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color w:val="000000"/>
          <w:sz w:val="22"/>
          <w:szCs w:val="22"/>
          <w:vertAlign w:val="baseline"/>
        </w:rPr>
      </w:pPr>
      <w:r w:rsidDel="00000000" w:rsidR="00000000" w:rsidRPr="00000000">
        <w:rPr>
          <w:rtl w:val="0"/>
        </w:rPr>
      </w:r>
    </w:p>
    <w:p w:rsidR="00000000" w:rsidDel="00000000" w:rsidP="00000000" w:rsidRDefault="00000000" w:rsidRPr="00000000" w14:paraId="00000039">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color w:val="000000"/>
          <w:sz w:val="22"/>
          <w:szCs w:val="22"/>
          <w:vertAlign w:val="baseline"/>
        </w:rPr>
      </w:pPr>
      <w:r w:rsidDel="00000000" w:rsidR="00000000" w:rsidRPr="00000000">
        <w:rPr>
          <w:rFonts w:ascii="Century Gothic" w:cs="Century Gothic" w:eastAsia="Century Gothic" w:hAnsi="Century Gothic"/>
          <w:color w:val="000000"/>
          <w:sz w:val="22"/>
          <w:szCs w:val="22"/>
          <w:vertAlign w:val="baseline"/>
          <w:rtl w:val="0"/>
        </w:rPr>
        <w:t xml:space="preserve">No es pot faltar les hores prèvies a un examen. Si es produeix aquest fet sense cap causa justificable, i l’alumne acudeix a fer l’examen a l’hora programada, aquest no tindrà dret a fer-lo.  L’alumne haurà de fer directament la recuperació establerta segons els criteris d’avaluació de la matèria. Si ja ha fet l’examen i es prova que ha faltat les hores prèvies sense cap justificació, l’examen en qüestió no serà corregit i l’alumne s’haurà de presentar a l’activitat de recuperació establerta dins els criteris d’avaluació de la matèria</w:t>
      </w:r>
    </w:p>
    <w:p w:rsidR="00000000" w:rsidDel="00000000" w:rsidP="00000000" w:rsidRDefault="00000000" w:rsidRPr="00000000" w14:paraId="0000003A">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color w:val="ff0000"/>
          <w:sz w:val="22"/>
          <w:szCs w:val="22"/>
          <w:vertAlign w:val="baseline"/>
        </w:rPr>
      </w:pPr>
      <w:r w:rsidDel="00000000" w:rsidR="00000000" w:rsidRPr="00000000">
        <w:rPr>
          <w:rtl w:val="0"/>
        </w:rPr>
      </w:r>
    </w:p>
    <w:p w:rsidR="00000000" w:rsidDel="00000000" w:rsidP="00000000" w:rsidRDefault="00000000" w:rsidRPr="00000000" w14:paraId="0000003B">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60" w:before="240" w:line="240" w:lineRule="auto"/>
        <w:ind w:left="0" w:right="0" w:firstLine="0"/>
        <w:jc w:val="both"/>
        <w:rPr>
          <w:rFonts w:ascii="Century Gothic" w:cs="Century Gothic" w:eastAsia="Century Gothic" w:hAnsi="Century Gothic"/>
          <w:b w:val="1"/>
          <w:i w:val="0"/>
          <w:smallCaps w:val="0"/>
          <w:strike w:val="0"/>
          <w:color w:val="00b0f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b0f0"/>
          <w:sz w:val="22"/>
          <w:szCs w:val="22"/>
          <w:u w:val="none"/>
          <w:shd w:fill="auto" w:val="clear"/>
          <w:vertAlign w:val="baseline"/>
          <w:rtl w:val="0"/>
        </w:rPr>
        <w:t xml:space="preserve">Nota final contínua (juny)</w:t>
      </w:r>
    </w:p>
    <w:p w:rsidR="00000000" w:rsidDel="00000000" w:rsidP="00000000" w:rsidRDefault="00000000" w:rsidRPr="00000000" w14:paraId="0000003C">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La nota de la final contínua s’obté a partir de les notes obtingudes en els diferents trimestres segons:</w:t>
      </w:r>
    </w:p>
    <w:p w:rsidR="00000000" w:rsidDel="00000000" w:rsidP="00000000" w:rsidRDefault="00000000" w:rsidRPr="00000000" w14:paraId="0000003D">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i w:val="0"/>
          <w:color w:val="00b050"/>
          <w:sz w:val="22"/>
          <w:szCs w:val="22"/>
          <w:vertAlign w:val="baseline"/>
        </w:rPr>
      </w:pPr>
      <w:r w:rsidDel="00000000" w:rsidR="00000000" w:rsidRPr="00000000">
        <w:rPr>
          <w:rtl w:val="0"/>
        </w:rPr>
      </w:r>
    </w:p>
    <w:p w:rsidR="00000000" w:rsidDel="00000000" w:rsidP="00000000" w:rsidRDefault="00000000" w:rsidRPr="00000000" w14:paraId="0000003E">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i w:val="0"/>
          <w:sz w:val="22"/>
          <w:szCs w:val="22"/>
          <w:vertAlign w:val="baseline"/>
        </w:rPr>
      </w:pPr>
      <w:r w:rsidDel="00000000" w:rsidR="00000000" w:rsidRPr="00000000">
        <w:rPr>
          <w:rFonts w:ascii="Century Gothic" w:cs="Century Gothic" w:eastAsia="Century Gothic" w:hAnsi="Century Gothic"/>
          <w:i w:val="1"/>
          <w:sz w:val="22"/>
          <w:szCs w:val="22"/>
          <w:vertAlign w:val="baseline"/>
          <w:rtl w:val="0"/>
        </w:rPr>
        <w:t xml:space="preserve">QF = </w:t>
      </w:r>
      <w:r w:rsidDel="00000000" w:rsidR="00000000" w:rsidRPr="00000000">
        <w:rPr>
          <w:rFonts w:ascii="Century Gothic" w:cs="Century Gothic" w:eastAsia="Century Gothic" w:hAnsi="Century Gothic"/>
          <w:i w:val="1"/>
          <w:sz w:val="22"/>
          <w:szCs w:val="22"/>
          <w:u w:val="single"/>
          <w:vertAlign w:val="baseline"/>
          <w:rtl w:val="0"/>
        </w:rPr>
        <w:t xml:space="preserve">QT1 + QT2  + QT3</w:t>
      </w:r>
      <w:r w:rsidDel="00000000" w:rsidR="00000000" w:rsidRPr="00000000">
        <w:rPr>
          <w:rtl w:val="0"/>
        </w:rPr>
      </w:r>
    </w:p>
    <w:p w:rsidR="00000000" w:rsidDel="00000000" w:rsidP="00000000" w:rsidRDefault="00000000" w:rsidRPr="00000000" w14:paraId="0000003F">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i w:val="0"/>
          <w:sz w:val="22"/>
          <w:szCs w:val="22"/>
          <w:vertAlign w:val="baseline"/>
        </w:rPr>
      </w:pPr>
      <w:r w:rsidDel="00000000" w:rsidR="00000000" w:rsidRPr="00000000">
        <w:rPr>
          <w:rFonts w:ascii="Century Gothic" w:cs="Century Gothic" w:eastAsia="Century Gothic" w:hAnsi="Century Gothic"/>
          <w:i w:val="1"/>
          <w:sz w:val="22"/>
          <w:szCs w:val="22"/>
          <w:vertAlign w:val="baseline"/>
          <w:rtl w:val="0"/>
        </w:rPr>
        <w:t xml:space="preserve">3</w:t>
      </w:r>
      <w:r w:rsidDel="00000000" w:rsidR="00000000" w:rsidRPr="00000000">
        <w:rPr>
          <w:rtl w:val="0"/>
        </w:rPr>
      </w:r>
    </w:p>
    <w:p w:rsidR="00000000" w:rsidDel="00000000" w:rsidP="00000000" w:rsidRDefault="00000000" w:rsidRPr="00000000" w14:paraId="00000040">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i w:val="0"/>
          <w:sz w:val="22"/>
          <w:szCs w:val="22"/>
          <w:vertAlign w:val="baseline"/>
        </w:rPr>
      </w:pPr>
      <w:r w:rsidDel="00000000" w:rsidR="00000000" w:rsidRPr="00000000">
        <w:rPr>
          <w:rtl w:val="0"/>
        </w:rPr>
      </w:r>
    </w:p>
    <w:p w:rsidR="00000000" w:rsidDel="00000000" w:rsidP="00000000" w:rsidRDefault="00000000" w:rsidRPr="00000000" w14:paraId="00000041">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i w:val="0"/>
          <w:sz w:val="22"/>
          <w:szCs w:val="22"/>
          <w:vertAlign w:val="baseline"/>
        </w:rPr>
      </w:pPr>
      <w:r w:rsidDel="00000000" w:rsidR="00000000" w:rsidRPr="00000000">
        <w:rPr>
          <w:rFonts w:ascii="Century Gothic" w:cs="Century Gothic" w:eastAsia="Century Gothic" w:hAnsi="Century Gothic"/>
          <w:i w:val="1"/>
          <w:sz w:val="22"/>
          <w:szCs w:val="22"/>
          <w:vertAlign w:val="baseline"/>
          <w:rtl w:val="0"/>
        </w:rPr>
        <w:t xml:space="preserve">QF = qualificació final</w:t>
      </w:r>
      <w:r w:rsidDel="00000000" w:rsidR="00000000" w:rsidRPr="00000000">
        <w:rPr>
          <w:rtl w:val="0"/>
        </w:rPr>
      </w:r>
    </w:p>
    <w:p w:rsidR="00000000" w:rsidDel="00000000" w:rsidP="00000000" w:rsidRDefault="00000000" w:rsidRPr="00000000" w14:paraId="00000042">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i w:val="0"/>
          <w:sz w:val="22"/>
          <w:szCs w:val="22"/>
          <w:vertAlign w:val="baseline"/>
        </w:rPr>
      </w:pPr>
      <w:r w:rsidDel="00000000" w:rsidR="00000000" w:rsidRPr="00000000">
        <w:rPr>
          <w:rFonts w:ascii="Century Gothic" w:cs="Century Gothic" w:eastAsia="Century Gothic" w:hAnsi="Century Gothic"/>
          <w:i w:val="1"/>
          <w:sz w:val="22"/>
          <w:szCs w:val="22"/>
          <w:vertAlign w:val="baseline"/>
          <w:rtl w:val="0"/>
        </w:rPr>
        <w:t xml:space="preserve">QT1 = qualificació del primer trimestre</w:t>
      </w:r>
      <w:r w:rsidDel="00000000" w:rsidR="00000000" w:rsidRPr="00000000">
        <w:rPr>
          <w:rtl w:val="0"/>
        </w:rPr>
      </w:r>
    </w:p>
    <w:p w:rsidR="00000000" w:rsidDel="00000000" w:rsidP="00000000" w:rsidRDefault="00000000" w:rsidRPr="00000000" w14:paraId="00000043">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i w:val="0"/>
          <w:sz w:val="22"/>
          <w:szCs w:val="22"/>
          <w:vertAlign w:val="baseline"/>
        </w:rPr>
      </w:pPr>
      <w:r w:rsidDel="00000000" w:rsidR="00000000" w:rsidRPr="00000000">
        <w:rPr>
          <w:rFonts w:ascii="Century Gothic" w:cs="Century Gothic" w:eastAsia="Century Gothic" w:hAnsi="Century Gothic"/>
          <w:i w:val="1"/>
          <w:sz w:val="22"/>
          <w:szCs w:val="22"/>
          <w:vertAlign w:val="baseline"/>
          <w:rtl w:val="0"/>
        </w:rPr>
        <w:t xml:space="preserve">QT2 = qualificació del segon trimestre</w:t>
      </w:r>
      <w:r w:rsidDel="00000000" w:rsidR="00000000" w:rsidRPr="00000000">
        <w:rPr>
          <w:rtl w:val="0"/>
        </w:rPr>
      </w:r>
    </w:p>
    <w:p w:rsidR="00000000" w:rsidDel="00000000" w:rsidP="00000000" w:rsidRDefault="00000000" w:rsidRPr="00000000" w14:paraId="00000044">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i w:val="0"/>
          <w:sz w:val="22"/>
          <w:szCs w:val="22"/>
          <w:vertAlign w:val="baseline"/>
        </w:rPr>
      </w:pPr>
      <w:r w:rsidDel="00000000" w:rsidR="00000000" w:rsidRPr="00000000">
        <w:rPr>
          <w:rFonts w:ascii="Century Gothic" w:cs="Century Gothic" w:eastAsia="Century Gothic" w:hAnsi="Century Gothic"/>
          <w:i w:val="1"/>
          <w:sz w:val="22"/>
          <w:szCs w:val="22"/>
          <w:vertAlign w:val="baseline"/>
          <w:rtl w:val="0"/>
        </w:rPr>
        <w:t xml:space="preserve">QT3 = qualificació del tercer trimestre</w:t>
      </w:r>
      <w:r w:rsidDel="00000000" w:rsidR="00000000" w:rsidRPr="00000000">
        <w:rPr>
          <w:rtl w:val="0"/>
        </w:rPr>
      </w:r>
    </w:p>
    <w:p w:rsidR="00000000" w:rsidDel="00000000" w:rsidP="00000000" w:rsidRDefault="00000000" w:rsidRPr="00000000" w14:paraId="00000045">
      <w:pPr>
        <w:spacing w:after="240" w:lineRule="auto"/>
        <w:jc w:val="both"/>
        <w:rPr>
          <w:rFonts w:ascii="Century Gothic" w:cs="Century Gothic" w:eastAsia="Century Gothic" w:hAnsi="Century Gothic"/>
          <w:b w:val="0"/>
          <w:color w:val="00b0f0"/>
          <w:sz w:val="22"/>
          <w:szCs w:val="22"/>
          <w:vertAlign w:val="baseline"/>
        </w:rPr>
      </w:pPr>
      <w:r w:rsidDel="00000000" w:rsidR="00000000" w:rsidRPr="00000000">
        <w:rPr>
          <w:rtl w:val="0"/>
        </w:rPr>
      </w:r>
    </w:p>
    <w:p w:rsidR="00000000" w:rsidDel="00000000" w:rsidP="00000000" w:rsidRDefault="00000000" w:rsidRPr="00000000" w14:paraId="00000046">
      <w:pPr>
        <w:spacing w:after="240" w:lineRule="auto"/>
        <w:jc w:val="both"/>
        <w:rPr>
          <w:rFonts w:ascii="Century Gothic" w:cs="Century Gothic" w:eastAsia="Century Gothic" w:hAnsi="Century Gothic"/>
          <w:color w:val="00b0f0"/>
          <w:sz w:val="22"/>
          <w:szCs w:val="22"/>
          <w:vertAlign w:val="baseline"/>
        </w:rPr>
      </w:pPr>
      <w:r w:rsidDel="00000000" w:rsidR="00000000" w:rsidRPr="00000000">
        <w:rPr>
          <w:rFonts w:ascii="Century Gothic" w:cs="Century Gothic" w:eastAsia="Century Gothic" w:hAnsi="Century Gothic"/>
          <w:b w:val="1"/>
          <w:color w:val="00b0f0"/>
          <w:sz w:val="22"/>
          <w:szCs w:val="22"/>
          <w:vertAlign w:val="baseline"/>
          <w:rtl w:val="0"/>
        </w:rPr>
        <w:t xml:space="preserve">RECUPERACIÓ MATÈRIA PENDENT CURSOS ANTERIORS</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L’alumnat de 1r de BAT que passsi de curs amb la matèria pendent (o matèries), la podrà recuperar durant el primer trimestre de 2n de BAT, d’acord amb el calendari programat de recuperació de matèries pendents.</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En cas d’avaluació negativa, l’alumnat podrà recuperar la matèria en una segona convocatòria durant el 2n trimestre i en última instància, a l’avaluació final ordinària i, si escau, a l’avaluació final extraordinària.</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La qualificació de la matèria després d'aquestes activitats de recuperació es qualificarà com la resta de matèries, és a dir, de l'1 al 10.</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 principi de curs, el/la cap de departament i la coordinació de batxillerat faran arribar les instruccions per recuperar la/es matèria/es pendents del curs anterior a l’alumnat concret.</w:t>
      </w:r>
    </w:p>
    <w:p w:rsidR="00000000" w:rsidDel="00000000" w:rsidP="00000000" w:rsidRDefault="00000000" w:rsidRPr="00000000" w14:paraId="0000004B">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4C">
      <w:pPr>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4D">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4E">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134"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9698.999999999998" w:type="dxa"/>
      <w:jc w:val="center"/>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693"/>
      <w:gridCol w:w="2303"/>
      <w:gridCol w:w="1124"/>
      <w:gridCol w:w="1015"/>
      <w:gridCol w:w="1978"/>
      <w:gridCol w:w="573"/>
      <w:gridCol w:w="1263"/>
      <w:gridCol w:w="750"/>
      <w:tblGridChange w:id="0">
        <w:tblGrid>
          <w:gridCol w:w="693"/>
          <w:gridCol w:w="2303"/>
          <w:gridCol w:w="1124"/>
          <w:gridCol w:w="1015"/>
          <w:gridCol w:w="1978"/>
          <w:gridCol w:w="573"/>
          <w:gridCol w:w="1263"/>
          <w:gridCol w:w="750"/>
        </w:tblGrid>
      </w:tblGridChange>
    </w:tblGrid>
    <w:tr>
      <w:trPr>
        <w:cantSplit w:val="1"/>
        <w:trHeight w:val="294" w:hRule="atLeast"/>
        <w:tblHeader w:val="0"/>
      </w:trPr>
      <w:tc>
        <w:tcPr>
          <w:vMerge w:val="restart"/>
          <w:vAlign w:val="top"/>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c0c0c0"/>
              <w:sz w:val="16"/>
              <w:szCs w:val="16"/>
              <w:u w:val="none"/>
              <w:shd w:fill="auto" w:val="clear"/>
              <w:vertAlign w:val="baseline"/>
            </w:rPr>
            <w:drawing>
              <wp:inline distB="0" distT="0" distL="114300" distR="114300">
                <wp:extent cx="276860" cy="314325"/>
                <wp:effectExtent b="0" l="0" r="0" t="0"/>
                <wp:docPr id="102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6860" cy="314325"/>
                        </a:xfrm>
                        <a:prstGeom prst="rect"/>
                        <a:ln/>
                      </pic:spPr>
                    </pic:pic>
                  </a:graphicData>
                </a:graphic>
              </wp:inline>
            </w:drawing>
          </w:r>
          <w:r w:rsidDel="00000000" w:rsidR="00000000" w:rsidRPr="00000000">
            <w:rPr>
              <w:rtl w:val="0"/>
            </w:rPr>
          </w:r>
        </w:p>
      </w:tc>
      <w:tc>
        <w:tcPr>
          <w:vMerge w:val="restart"/>
          <w:vAlign w:val="center"/>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Generalitat de Catalunya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Departament d’Educació</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1"/>
              <w:i w:val="0"/>
              <w:smallCaps w:val="0"/>
              <w:strike w:val="0"/>
              <w:color w:val="808080"/>
              <w:sz w:val="16"/>
              <w:szCs w:val="16"/>
              <w:u w:val="none"/>
              <w:shd w:fill="auto" w:val="clear"/>
              <w:vertAlign w:val="baseline"/>
              <w:rtl w:val="0"/>
            </w:rPr>
            <w:t xml:space="preserve">Institut Baix Camp</w:t>
          </w:r>
          <w:r w:rsidDel="00000000" w:rsidR="00000000" w:rsidRPr="00000000">
            <w:rPr>
              <w:rtl w:val="0"/>
            </w:rPr>
          </w:r>
        </w:p>
      </w:tc>
      <w:tc>
        <w:tcPr>
          <w:vAlign w:val="center"/>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25/06/2024</w:t>
          </w:r>
        </w:p>
      </w:tc>
      <w:tc>
        <w:tcPr>
          <w:vAlign w:val="cente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Arxiu</w:t>
          </w:r>
        </w:p>
      </w:tc>
      <w:tc>
        <w:tcPr>
          <w:gridSpan w:val="3"/>
          <w:vAlign w:val="center"/>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Model criteris qualificació BATX</w:t>
          </w:r>
        </w:p>
      </w:tc>
      <w:tc>
        <w:tcPr>
          <w:vMerge w:val="restart"/>
          <w:vAlign w:val="center"/>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 de </w:t>
          </w:r>
          <w:r w:rsidDel="00000000" w:rsidR="00000000" w:rsidRPr="00000000">
            <w:rPr>
              <w:rFonts w:ascii="Arial" w:cs="Arial" w:eastAsia="Arial" w:hAnsi="Arial"/>
              <w:b w:val="0"/>
              <w:i w:val="0"/>
              <w:smallCaps w:val="0"/>
              <w:strike w:val="0"/>
              <w:color w:val="80808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r>
      <w:trPr>
        <w:cantSplit w:val="1"/>
        <w:trHeight w:val="294" w:hRule="atLeast"/>
        <w:tblHeader w:val="0"/>
      </w:trPr>
      <w:tc>
        <w:tcPr>
          <w:vMerge w:val="continue"/>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versió  1</w:t>
          </w:r>
        </w:p>
      </w:tc>
      <w:tc>
        <w:tcPr>
          <w:vAlign w:val="cente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Elaborat</w:t>
          </w:r>
        </w:p>
      </w:tc>
      <w:tc>
        <w:tcPr>
          <w:vAlign w:val="cente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Coordinació pedagògica </w:t>
          </w:r>
        </w:p>
      </w:tc>
      <w:tc>
        <w:tcPr>
          <w:vAlign w:val="center"/>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Codi</w:t>
          </w:r>
        </w:p>
      </w:tc>
      <w:tc>
        <w:tcPr>
          <w:vAlign w:val="cente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MO-PRO088</w:t>
          </w:r>
        </w:p>
      </w:tc>
      <w:tc>
        <w:tcPr>
          <w:vMerge w:val="continue"/>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9180.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000"/>
    </w:tblPr>
    <w:tblGrid>
      <w:gridCol w:w="3060"/>
      <w:gridCol w:w="1800"/>
      <w:gridCol w:w="4320"/>
      <w:tblGridChange w:id="0">
        <w:tblGrid>
          <w:gridCol w:w="3060"/>
          <w:gridCol w:w="1800"/>
          <w:gridCol w:w="4320"/>
        </w:tblGrid>
      </w:tblGridChange>
    </w:tblGrid>
    <w:tr>
      <w:trPr>
        <w:cantSplit w:val="1"/>
        <w:trHeight w:val="537" w:hRule="atLeast"/>
        <w:tblHeader w:val="0"/>
      </w:trPr>
      <w:tc>
        <w:tcPr>
          <w:vMerge w:val="restart"/>
          <w:vAlign w:val="center"/>
        </w:tcPr>
        <w:p w:rsidR="00000000" w:rsidDel="00000000" w:rsidP="00000000" w:rsidRDefault="00000000" w:rsidRPr="00000000" w14:paraId="00000052">
          <w:pPr>
            <w:tabs>
              <w:tab w:val="left" w:leader="none" w:pos="567"/>
            </w:tabs>
            <w:rPr>
              <w:color w:val="333333"/>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-809624</wp:posOffset>
                </wp:positionH>
                <wp:positionV relativeFrom="paragraph">
                  <wp:posOffset>-1904</wp:posOffset>
                </wp:positionV>
                <wp:extent cx="809625" cy="809625"/>
                <wp:effectExtent b="0" l="0" r="0" t="0"/>
                <wp:wrapSquare wrapText="bothSides" distB="0" distT="0" distL="114300" distR="114300"/>
                <wp:docPr id="102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09625" cy="809625"/>
                        </a:xfrm>
                        <a:prstGeom prst="rect"/>
                        <a:ln/>
                      </pic:spPr>
                    </pic:pic>
                  </a:graphicData>
                </a:graphic>
              </wp:anchor>
            </w:drawing>
          </w:r>
        </w:p>
      </w:tc>
      <w:tc>
        <w:tcPr>
          <w:gridSpan w:val="2"/>
          <w:vAlign w:val="center"/>
        </w:tcPr>
        <w:p w:rsidR="00000000" w:rsidDel="00000000" w:rsidP="00000000" w:rsidRDefault="00000000" w:rsidRPr="00000000" w14:paraId="0000005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333333"/>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20"/>
              <w:szCs w:val="20"/>
              <w:u w:val="none"/>
              <w:shd w:fill="auto" w:val="clear"/>
              <w:vertAlign w:val="baseline"/>
              <w:rtl w:val="0"/>
            </w:rPr>
            <w:t xml:space="preserve">          CRITERIS DE QUALIFICACIÓ BATX</w:t>
          </w:r>
        </w:p>
      </w:tc>
    </w:tr>
    <w:tr>
      <w:trPr>
        <w:cantSplit w:val="1"/>
        <w:trHeight w:val="253" w:hRule="atLeast"/>
        <w:tblHeader w:val="0"/>
      </w:trPr>
      <w:tc>
        <w:tcPr>
          <w:vMerge w:val="continue"/>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i w:val="0"/>
              <w:smallCaps w:val="0"/>
              <w:strike w:val="0"/>
              <w:color w:val="333333"/>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6">
          <w:pPr>
            <w:rPr>
              <w:rFonts w:ascii="Century Gothic" w:cs="Century Gothic" w:eastAsia="Century Gothic" w:hAnsi="Century Gothic"/>
              <w:color w:val="333333"/>
              <w:sz w:val="18"/>
              <w:szCs w:val="18"/>
              <w:vertAlign w:val="baseline"/>
            </w:rPr>
          </w:pPr>
          <w:r w:rsidDel="00000000" w:rsidR="00000000" w:rsidRPr="00000000">
            <w:rPr>
              <w:rFonts w:ascii="Century Gothic" w:cs="Century Gothic" w:eastAsia="Century Gothic" w:hAnsi="Century Gothic"/>
              <w:color w:val="333333"/>
              <w:sz w:val="18"/>
              <w:szCs w:val="18"/>
              <w:vertAlign w:val="baseline"/>
              <w:rtl w:val="0"/>
            </w:rPr>
            <w:t xml:space="preserve">Matèria</w:t>
          </w:r>
        </w:p>
      </w:tc>
      <w:tc>
        <w:tcPr>
          <w:vAlign w:val="center"/>
        </w:tcPr>
        <w:p w:rsidR="00000000" w:rsidDel="00000000" w:rsidP="00000000" w:rsidRDefault="00000000" w:rsidRPr="00000000" w14:paraId="00000057">
          <w:pPr>
            <w:rPr>
              <w:rFonts w:ascii="Century Gothic" w:cs="Century Gothic" w:eastAsia="Century Gothic" w:hAnsi="Century Gothic"/>
              <w:color w:val="333333"/>
              <w:sz w:val="18"/>
              <w:szCs w:val="18"/>
              <w:vertAlign w:val="baseline"/>
            </w:rPr>
          </w:pPr>
          <w:r w:rsidDel="00000000" w:rsidR="00000000" w:rsidRPr="00000000">
            <w:rPr>
              <w:rFonts w:ascii="Century Gothic" w:cs="Century Gothic" w:eastAsia="Century Gothic" w:hAnsi="Century Gothic"/>
              <w:color w:val="333333"/>
              <w:sz w:val="18"/>
              <w:szCs w:val="18"/>
              <w:vertAlign w:val="baseline"/>
              <w:rtl w:val="0"/>
            </w:rPr>
            <w:t xml:space="preserve">Biologia</w:t>
          </w:r>
        </w:p>
      </w:tc>
    </w:tr>
    <w:tr>
      <w:trPr>
        <w:cantSplit w:val="1"/>
        <w:trHeight w:val="403" w:hRule="atLeast"/>
        <w:tblHeader w:val="0"/>
      </w:trPr>
      <w:tc>
        <w:tcPr>
          <w:vMerge w:val="continue"/>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color w:val="333333"/>
              <w:sz w:val="18"/>
              <w:szCs w:val="18"/>
              <w:vertAlign w:val="baseline"/>
            </w:rPr>
          </w:pPr>
          <w:r w:rsidDel="00000000" w:rsidR="00000000" w:rsidRPr="00000000">
            <w:rPr>
              <w:rtl w:val="0"/>
            </w:rPr>
          </w:r>
        </w:p>
      </w:tc>
      <w:tc>
        <w:tcPr>
          <w:vAlign w:val="center"/>
        </w:tcPr>
        <w:p w:rsidR="00000000" w:rsidDel="00000000" w:rsidP="00000000" w:rsidRDefault="00000000" w:rsidRPr="00000000" w14:paraId="00000059">
          <w:pPr>
            <w:rPr>
              <w:rFonts w:ascii="Century Gothic" w:cs="Century Gothic" w:eastAsia="Century Gothic" w:hAnsi="Century Gothic"/>
              <w:color w:val="333333"/>
              <w:sz w:val="18"/>
              <w:szCs w:val="18"/>
              <w:vertAlign w:val="baseline"/>
            </w:rPr>
          </w:pPr>
          <w:r w:rsidDel="00000000" w:rsidR="00000000" w:rsidRPr="00000000">
            <w:rPr>
              <w:rFonts w:ascii="Century Gothic" w:cs="Century Gothic" w:eastAsia="Century Gothic" w:hAnsi="Century Gothic"/>
              <w:color w:val="333333"/>
              <w:sz w:val="18"/>
              <w:szCs w:val="18"/>
              <w:vertAlign w:val="baseline"/>
              <w:rtl w:val="0"/>
            </w:rPr>
            <w:t xml:space="preserve">Nivell</w:t>
          </w:r>
        </w:p>
      </w:tc>
      <w:tc>
        <w:tcPr>
          <w:vAlign w:val="center"/>
        </w:tcPr>
        <w:p w:rsidR="00000000" w:rsidDel="00000000" w:rsidP="00000000" w:rsidRDefault="00000000" w:rsidRPr="00000000" w14:paraId="0000005A">
          <w:pPr>
            <w:rPr>
              <w:rFonts w:ascii="Century Gothic" w:cs="Century Gothic" w:eastAsia="Century Gothic" w:hAnsi="Century Gothic"/>
              <w:color w:val="333333"/>
              <w:sz w:val="18"/>
              <w:szCs w:val="18"/>
              <w:vertAlign w:val="baseline"/>
            </w:rPr>
          </w:pPr>
          <w:r w:rsidDel="00000000" w:rsidR="00000000" w:rsidRPr="00000000">
            <w:rPr>
              <w:rFonts w:ascii="Century Gothic" w:cs="Century Gothic" w:eastAsia="Century Gothic" w:hAnsi="Century Gothic"/>
              <w:color w:val="333333"/>
              <w:sz w:val="18"/>
              <w:szCs w:val="18"/>
              <w:rtl w:val="0"/>
            </w:rPr>
            <w:t xml:space="preserve">1r de Batxillerat</w:t>
          </w:r>
          <w:r w:rsidDel="00000000" w:rsidR="00000000" w:rsidRPr="00000000">
            <w:rPr>
              <w:rtl w:val="0"/>
            </w:rPr>
          </w:r>
        </w:p>
      </w:tc>
    </w:tr>
  </w:tbl>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ca-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Título1">
    <w:name w:val="Título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Arial" w:cs="Arial" w:hAnsi="Arial"/>
      <w:b w:val="1"/>
      <w:bCs w:val="1"/>
      <w:w w:val="100"/>
      <w:kern w:val="32"/>
      <w:position w:val="-1"/>
      <w:sz w:val="32"/>
      <w:szCs w:val="32"/>
      <w:effect w:val="none"/>
      <w:vertAlign w:val="baseline"/>
      <w:cs w:val="0"/>
      <w:em w:val="none"/>
      <w:lang w:bidi="ar-SA" w:eastAsia="ca-ES" w:val="ca-ES"/>
    </w:rPr>
  </w:style>
  <w:style w:type="paragraph" w:styleId="Título3">
    <w:name w:val="Título 3"/>
    <w:basedOn w:val="Normal"/>
    <w:next w:val="Normal"/>
    <w:autoRedefine w:val="0"/>
    <w:hidden w:val="0"/>
    <w:qFormat w:val="0"/>
    <w:pPr>
      <w:keepNext w:val="1"/>
      <w:widowControl w:val="0"/>
      <w:suppressAutoHyphens w:val="0"/>
      <w:spacing w:after="60" w:before="240" w:line="1" w:lineRule="atLeast"/>
      <w:ind w:leftChars="-1" w:rightChars="0" w:firstLineChars="-1"/>
      <w:textDirection w:val="btLr"/>
      <w:textAlignment w:val="top"/>
      <w:outlineLvl w:val="2"/>
    </w:pPr>
    <w:rPr>
      <w:rFonts w:ascii="Times" w:cs="Arial" w:eastAsia="DejaVu Sans" w:hAnsi="Times"/>
      <w:b w:val="1"/>
      <w:bCs w:val="1"/>
      <w:w w:val="100"/>
      <w:kern w:val="1"/>
      <w:position w:val="-1"/>
      <w:sz w:val="26"/>
      <w:szCs w:val="26"/>
      <w:effect w:val="none"/>
      <w:vertAlign w:val="baseline"/>
      <w:cs w:val="0"/>
      <w:em w:val="none"/>
      <w:lang w:bidi="ar-SA" w:eastAsia="und" w:val="ca-ES"/>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table" w:styleId="Tablanormal">
    <w:name w:val="Tabla normal"/>
    <w:next w:val="Tab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0"/>
    <w:pPr>
      <w:suppressAutoHyphens w:val="1"/>
      <w:spacing w:line="1" w:lineRule="atLeast"/>
      <w:ind w:leftChars="-1" w:rightChars="0" w:firstLineChars="-1"/>
      <w:textDirection w:val="btLr"/>
      <w:textAlignment w:val="top"/>
      <w:outlineLvl w:val="0"/>
    </w:pPr>
  </w:style>
  <w:style w:type="paragraph" w:styleId="Encabezado">
    <w:name w:val="Encabezado"/>
    <w:basedOn w:val="Normal"/>
    <w:next w:val="Encabezado"/>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Piedepágina">
    <w:name w:val="Pie de página"/>
    <w:basedOn w:val="Normal"/>
    <w:next w:val="Piedepágina"/>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Formatolibre">
    <w:name w:val="Formato libre"/>
    <w:next w:val="Formatolibre"/>
    <w:autoRedefine w:val="0"/>
    <w:hidden w:val="0"/>
    <w:qFormat w:val="0"/>
    <w:pPr>
      <w:suppressAutoHyphens w:val="1"/>
      <w:spacing w:line="1" w:lineRule="atLeast"/>
      <w:ind w:leftChars="-1" w:rightChars="0" w:firstLineChars="-1"/>
      <w:textDirection w:val="btLr"/>
      <w:textAlignment w:val="top"/>
      <w:outlineLvl w:val="0"/>
    </w:pPr>
    <w:rPr>
      <w:color w:val="000000"/>
      <w:w w:val="100"/>
      <w:position w:val="-1"/>
      <w:effect w:val="none"/>
      <w:vertAlign w:val="baseline"/>
      <w:cs w:val="0"/>
      <w:em w:val="none"/>
      <w:lang w:bidi="ar-SA" w:eastAsia="es-ES" w:val="und"/>
    </w:rPr>
  </w:style>
  <w:style w:type="paragraph" w:styleId="Título31">
    <w:name w:val="Título 31"/>
    <w:next w:val="Normal"/>
    <w:autoRedefine w:val="0"/>
    <w:hidden w:val="0"/>
    <w:qFormat w:val="0"/>
    <w:pPr>
      <w:keepNext w:val="1"/>
      <w:widowControl w:val="0"/>
      <w:suppressAutoHyphens w:val="0"/>
      <w:spacing w:after="60" w:before="240" w:line="1" w:lineRule="atLeast"/>
      <w:ind w:leftChars="-1" w:rightChars="0" w:firstLineChars="-1"/>
      <w:textDirection w:val="btLr"/>
      <w:textAlignment w:val="top"/>
      <w:outlineLvl w:val="2"/>
    </w:pPr>
    <w:rPr>
      <w:rFonts w:ascii="Times" w:eastAsia="ヒラギノ角ゴ Pro W3" w:hAnsi="Times"/>
      <w:b w:val="1"/>
      <w:color w:val="000000"/>
      <w:w w:val="100"/>
      <w:kern w:val="1"/>
      <w:position w:val="-1"/>
      <w:sz w:val="26"/>
      <w:effect w:val="none"/>
      <w:vertAlign w:val="baseline"/>
      <w:cs w:val="0"/>
      <w:em w:val="none"/>
      <w:lang w:bidi="ar-SA" w:eastAsia="es-ES" w:val="und"/>
    </w:rPr>
  </w:style>
  <w:style w:type="table" w:styleId="Tablaconcuadrícula">
    <w:name w:val="Tabla con cuadrícula"/>
    <w:basedOn w:val="Tablanormal"/>
    <w:next w:val="Tablaconcuadrícu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concuadrícu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s-ES" w:val="es-ES"/>
    </w:rPr>
  </w:style>
  <w:style w:type="paragraph" w:styleId="Párrafodelista">
    <w:name w:val="Párrafo de lista"/>
    <w:basedOn w:val="Normal"/>
    <w:next w:val="Párrafodelista"/>
    <w:autoRedefine w:val="0"/>
    <w:hidden w:val="0"/>
    <w:qFormat w:val="0"/>
    <w:pPr>
      <w:suppressAutoHyphens w:val="1"/>
      <w:spacing w:line="1" w:lineRule="atLeast"/>
      <w:ind w:left="708"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character" w:styleId="Textoennegrita">
    <w:name w:val="Texto en negrita"/>
    <w:next w:val="Textoennegrita"/>
    <w:autoRedefine w:val="0"/>
    <w:hidden w:val="0"/>
    <w:qFormat w:val="0"/>
    <w:rPr>
      <w:b w:val="1"/>
      <w:bCs w:val="1"/>
      <w:w w:val="100"/>
      <w:position w:val="-1"/>
      <w:effect w:val="none"/>
      <w:vertAlign w:val="baseline"/>
      <w:cs w:val="0"/>
      <w:em w:val="none"/>
      <w:lang/>
    </w:rPr>
  </w:style>
  <w:style w:type="character" w:styleId="PiedepáginaCar">
    <w:name w:val="Pie de página Car"/>
    <w:next w:val="PiedepáginaCar"/>
    <w:autoRedefine w:val="0"/>
    <w:hidden w:val="0"/>
    <w:qFormat w:val="0"/>
    <w:rPr>
      <w:w w:val="100"/>
      <w:position w:val="-1"/>
      <w:sz w:val="24"/>
      <w:szCs w:val="24"/>
      <w:effect w:val="none"/>
      <w:vertAlign w:val="baseline"/>
      <w:cs w:val="0"/>
      <w:em w:val="none"/>
      <w:lang w:eastAsia="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12" Type="http://schemas.openxmlformats.org/officeDocument/2006/relationships/footer" Target="footer2.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3.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XdvI23pjKv99VA8QmMvPz8yVNA==">CgMxLjA4AHIhMU9Wa1BJYnZmVy1vMUJ4bzF5ZkxxbFNZN05FUGtjbGxv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2024-06-25T15:42:00Z</dcterms:created>
  <dc:creator>j&amp;n</dc:creator>
</cp:coreProperties>
</file>