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C7- RECOLZAMENT PSICOLÒGIC AL/ A LA PACIENT / CLIENT/A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AVALUACIÓ ORDINÀRIA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final de curs (ordinària)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nota final ordinària s’obtindrà a partir de la mitjana aritmètica de les 3 avaluacions trimestrals, sempre i quan s’hagin superat per separat.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Final C7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Qualificació de cada avaluació trimestral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poder ser avaluat trimestralment, l’alumnat haurà de: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Assistir regularment a classe. Es perdrà el dret d’avaluació d’un trimestre dins de l'avaluació ordinària   (segons la NOFC) :</w:t>
      </w:r>
    </w:p>
    <w:p w:rsidR="00000000" w:rsidDel="00000000" w:rsidP="00000000" w:rsidRDefault="00000000" w:rsidRPr="00000000" w14:paraId="00000010">
      <w:pPr>
        <w:spacing w:line="331" w:lineRule="auto"/>
        <w:ind w:left="70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-En superar el 20% d’hores de cada trimestre.</w:t>
      </w:r>
    </w:p>
    <w:p w:rsidR="00000000" w:rsidDel="00000000" w:rsidP="00000000" w:rsidRDefault="00000000" w:rsidRPr="00000000" w14:paraId="00000011">
      <w:pPr>
        <w:spacing w:line="331" w:lineRule="auto"/>
        <w:ind w:left="708" w:firstLine="0"/>
        <w:jc w:val="both"/>
        <w:rPr>
          <w:rFonts w:ascii="Arial" w:cs="Arial" w:eastAsia="Arial" w:hAnsi="Arial"/>
          <w:color w:val="0000ff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-L’alumnat semipresencial ha d’assistir com a mínim al 50% de les hores de cada trimestre, realitzar i lliurar en la data acordada les tasques que encomani el professorat i fer les proves d’avaluació quan estiguin pautades amb tot el grup</w:t>
      </w: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331" w:lineRule="auto"/>
        <w:jc w:val="both"/>
        <w:rPr>
          <w:rFonts w:ascii="Arial" w:cs="Arial" w:eastAsia="Arial" w:hAnsi="Arial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 d’absència, l’alumnat haurà de recollir i realitzar pel seu compte els conceptes i procediments treballats, que els podrà trobar a l’entorn moodle.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Realitzar i entregar les tasques proposades pel professor/a en la data establerta.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Comportar-se de forma correcta amb els/les companys/es i amb el professor/a, tenint una actitud activa i positiva envers el treball a l’aula.</w:t>
      </w:r>
    </w:p>
    <w:p w:rsidR="00000000" w:rsidDel="00000000" w:rsidP="00000000" w:rsidRDefault="00000000" w:rsidRPr="00000000" w14:paraId="00000018">
      <w:pPr>
        <w:spacing w:line="276" w:lineRule="auto"/>
        <w:ind w:left="36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qualificació trimestral s’obtindrà mitjançant els següents percentatges i criteris: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C7-Trim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45%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Procediment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+40%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Continguts +</m:t>
        </m:r>
        <m:r>
          <w:rPr>
            <w:rFonts w:ascii="Cambria Math" w:cs="Cambria Math" w:eastAsia="Cambria Math" w:hAnsi="Cambria Math"/>
            <w:sz w:val="28"/>
            <w:szCs w:val="28"/>
          </w:rPr>
          <m:t xml:space="preserve">15</m:t>
        </m:r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% Actitud professional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820"/>
        <w:gridCol w:w="851"/>
        <w:gridCol w:w="6793"/>
        <w:tblGridChange w:id="0">
          <w:tblGrid>
            <w:gridCol w:w="1820"/>
            <w:gridCol w:w="851"/>
            <w:gridCol w:w="6793"/>
          </w:tblGrid>
        </w:tblGridChange>
      </w:tblGrid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Procediments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Arial" w:cs="Arial" w:eastAsia="Arial" w:hAnsi="Arial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habilitats pràctiques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s’avaluaran mitjançant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casos interdisciplinars, simulacions o role-playing i activitats pràctiques**.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 les activitats pràctiques una falta greu*, per omissió o mala praxis, pot repercutir molt negativament en la qualificació.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*Es consideren faltes greus aquelles que poden perjudicar seriosament al pacient o al professional sanitari assistencial.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2"/>
                <w:szCs w:val="22"/>
                <w:rtl w:val="0"/>
              </w:rPr>
              <w:t xml:space="preserve">Instruments d’avaluació procedimentals: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Primera avaluació: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UD0. Rol professional del TCAI.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UD1. Introducció a la psicologia. 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UD2. Canvis psíquics al llarg de la vida.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Activitat Modificació de la conducta 5%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Activitat Emocions i música 5%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Valoració Escala Pfeiffer 10%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Role-playing Escala Barthel 15%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Cas multidisciplinar 10%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Segona avaluació: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UD3. La comunicació entre pacient i professional sanitari.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UD4. L’estat psíquic dels pacients en situacions especials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Role playing Comunicació 15%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Grups d’ajuda i associacions 10%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Activitat Malalties cròniques freqüents 5%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Cas multidisciplinar 10%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Tercera avaluació: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UD5. Trastorns psíquics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Activitat Gestió de l’estrès 5%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Role-playing Actuació davant episodis aguts 40%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Els diferents instruments d’avaluació poden variar lleugerament en funció de les necessitats del grup classe i del seu entorn.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 superar aquest apartat s’ha d’obtenir una qualificació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 punts sobre 10 en cada activitat i una puntuació global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5 punts.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 es realitzen poques activitats pràctiques durant algun dels trimestres, part d’aquest percentatge de procediments pot passar a formar part de l’apartat de conceptes.</w:t>
            </w:r>
          </w:p>
        </w:tc>
      </w:tr>
      <w:tr>
        <w:trPr>
          <w:cantSplit w:val="0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Conceptes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coneixements teòrics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s’avaluaran mitjançant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proves teòriques**.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Arial" w:cs="Arial" w:eastAsia="Arial" w:hAnsi="Arial"/>
                <w:b w:val="1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2"/>
                <w:szCs w:val="22"/>
                <w:rtl w:val="0"/>
              </w:rPr>
              <w:t xml:space="preserve">Instruments d’avaluació conceptuals: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Primera avaluació: 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UD0. Rol professional del TCAI.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UD1. Introducció a la psicologia. 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UD2. Canvis psíquics al llarg de la vida. 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1 20%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2 20%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Segona avaluació: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UD3. La comunicació entre pacient i professional sanitari.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UD4. L’estat psíquic dels pacients en situacions especials.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1 20%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2 20%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ind w:left="720" w:firstLine="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Tercera avaluació: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UD5. Trastorns psíquics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1 20%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color w:val="0070c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70c0"/>
                <w:sz w:val="22"/>
                <w:szCs w:val="22"/>
                <w:rtl w:val="0"/>
              </w:rPr>
              <w:t xml:space="preserve">Prova escrita 2 20%</w:t>
            </w:r>
          </w:p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Els diferents instruments d’avaluació poden variar lleugerament en funció de les necessitats del grup classe i del seu entorn.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 superar aquest apartat s’ha d’obtenir una qualificació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 punts sobre 10 a cadascuna de les proves i obtenir una qualificació mitjana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5 punts.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 no es realitza cap prova teòrica durant algun dels trimestres, part d’aquest percentatge pot formar part de l’apartat de procediments.</w:t>
            </w:r>
          </w:p>
        </w:tc>
      </w:tr>
      <w:tr>
        <w:trPr>
          <w:cantSplit w:val="0"/>
          <w:trHeight w:val="4013.529296875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Actitud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professional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S’avaluarà de forma continuada, a través d’una Graella d'observació de capacitats clau que serà transversal a totes les matèries, tenint en compte les següents capacitats clau: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-Autonomia / Resolució de problemes.</w:t>
            </w:r>
          </w:p>
          <w:p w:rsidR="00000000" w:rsidDel="00000000" w:rsidP="00000000" w:rsidRDefault="00000000" w:rsidRPr="00000000" w14:paraId="0000006A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-Innovació / creativitat.</w:t>
            </w:r>
          </w:p>
          <w:p w:rsidR="00000000" w:rsidDel="00000000" w:rsidP="00000000" w:rsidRDefault="00000000" w:rsidRPr="00000000" w14:paraId="0000006B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-Iniciativa i organització del treball.</w:t>
            </w:r>
          </w:p>
          <w:p w:rsidR="00000000" w:rsidDel="00000000" w:rsidP="00000000" w:rsidRDefault="00000000" w:rsidRPr="00000000" w14:paraId="0000006C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-Relació interpersonal/Comunicació.</w:t>
            </w:r>
          </w:p>
          <w:p w:rsidR="00000000" w:rsidDel="00000000" w:rsidP="00000000" w:rsidRDefault="00000000" w:rsidRPr="00000000" w14:paraId="0000006D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-Autoestima/Autoconfiança.</w:t>
            </w:r>
          </w:p>
          <w:p w:rsidR="00000000" w:rsidDel="00000000" w:rsidP="00000000" w:rsidRDefault="00000000" w:rsidRPr="00000000" w14:paraId="0000006E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-Responsabilitat.</w:t>
            </w:r>
          </w:p>
          <w:p w:rsidR="00000000" w:rsidDel="00000000" w:rsidP="00000000" w:rsidRDefault="00000000" w:rsidRPr="00000000" w14:paraId="0000006F">
            <w:pPr>
              <w:keepLines w:val="1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-Treball en equip.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 superar aquest apartat s’ha d’obtenir una qualificació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≥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 punts sobre 10.</w:t>
            </w:r>
          </w:p>
        </w:tc>
      </w:tr>
    </w:tbl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** L´alumne/a que per causa justificada no es presenti a una prova d’avaluació ordinària, tindrà dret a fer-la a final de cada trimestre.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AVALUACIÓ EXTRAORDINÀRIA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 que l’alumne/a perdi el dret d’avaluació o no aprovi alguna de les avaluacions trimestrals, tindrà dret a una avaluació extraordinària a final de curs, on se l’avaluarà exclusivament del/s apartat/s trimestrals (conceptual, actitudinal i/o procedimental) no superats. 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Cada avaluació trimestral suspesa s’avaluarà mitjançant una prova escrita i/o pràctica de/ls apartat/s no superats a l’ordinària, conservant les qualificacions dels altres apartats ja superats.En el cas de l’apartat procedimental, si s’ha aprovat el cas multidisciplinar amb una nota major o igual al 5, es guardarà aquesta nota i només caldrà avaluar-se de la resta de proves procedimentals i si s’han aprovat la prova/es procedimentals, però no el cas multidisciplinar, només es realitzarà el cas i el guardaran la resta de notes procedimentals, quedant aprovat l’apartat si la nota és igual o major a 5.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cas de suspendre la part actitudinal, es podrà demanar la realització d’un cas pràctic, on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 valoraran els aspectes actitudinals professionals vers un/a actor/actriu que farà de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pacient.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qualificació final del crèdit 7 a extraordinària s’obtindrà amb el mateix percentatge que a l’ordinària, conservant les qualificacions trimestrals ja superades a l’ordinària, i substituint dins de cada trimestre suspès, els apartats no superats per la qualificació de la/les prova/es corresponents realitzades a la convocatòria extraordinària, sempre que en cadascuna d’elles s’obtingui una puntuació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2"/>
              <w:szCs w:val="22"/>
              <w:rtl w:val="0"/>
            </w:rPr>
            <w:t xml:space="preserve">≥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 punts sobre 10.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mbria Math" w:cs="Cambria Math" w:eastAsia="Cambria Math" w:hAnsi="Cambria Math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C7 - Final C. Extr.</m:t>
            </m:r>
          </m:sub>
        </m:sSub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1a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2a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  <m:r>
          <w:rPr>
            <w:rFonts w:ascii="Cambria Math" w:cs="Cambria Math" w:eastAsia="Cambria Math" w:hAnsi="Cambria Math"/>
            <w:color w:val="000000"/>
            <w:sz w:val="28"/>
            <w:szCs w:val="28"/>
          </w:rPr>
          <m:t xml:space="preserve"> +</m:t>
        </m:r>
        <m:f>
          <m:fPr>
            <m:ctrlP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color w:val="000000"/>
                    <w:sz w:val="28"/>
                    <w:szCs w:val="28"/>
                  </w:rPr>
                  <m:t xml:space="preserve">3a AVALUACIÓ 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color w:val="000000"/>
                <w:sz w:val="28"/>
                <w:szCs w:val="28"/>
              </w:rPr>
              <m:t xml:space="preserve">3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2595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894.0" w:type="dxa"/>
      <w:jc w:val="left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707"/>
      <w:gridCol w:w="2349"/>
      <w:gridCol w:w="1147"/>
      <w:gridCol w:w="1008"/>
      <w:gridCol w:w="1701"/>
      <w:gridCol w:w="588"/>
      <w:gridCol w:w="1472"/>
      <w:gridCol w:w="922"/>
      <w:tblGridChange w:id="0">
        <w:tblGrid>
          <w:gridCol w:w="707"/>
          <w:gridCol w:w="2349"/>
          <w:gridCol w:w="1147"/>
          <w:gridCol w:w="1008"/>
          <w:gridCol w:w="1701"/>
          <w:gridCol w:w="588"/>
          <w:gridCol w:w="1472"/>
          <w:gridCol w:w="922"/>
        </w:tblGrid>
      </w:tblGridChange>
    </w:tblGrid>
    <w:tr>
      <w:trPr>
        <w:cantSplit w:val="0"/>
        <w:trHeight w:val="277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9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c0c0c0"/>
              <w:sz w:val="16"/>
              <w:szCs w:val="16"/>
            </w:rPr>
            <w:drawing>
              <wp:inline distB="0" distT="0" distL="0" distR="0">
                <wp:extent cx="281305" cy="32131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213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9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9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b w:val="1"/>
              <w:color w:val="808080"/>
              <w:sz w:val="16"/>
              <w:szCs w:val="16"/>
            </w:rPr>
          </w:pPr>
          <w:r w:rsidDel="00000000" w:rsidR="00000000" w:rsidRPr="00000000">
            <w:rPr>
              <w:b w:val="1"/>
              <w:color w:val="808080"/>
              <w:sz w:val="16"/>
              <w:szCs w:val="16"/>
              <w:rtl w:val="0"/>
            </w:rPr>
            <w:t xml:space="preserve">Institut Baix Camp</w:t>
          </w:r>
        </w:p>
      </w:tc>
      <w:tc>
        <w:tcPr>
          <w:vAlign w:val="center"/>
        </w:tcPr>
        <w:p w:rsidR="00000000" w:rsidDel="00000000" w:rsidP="00000000" w:rsidRDefault="00000000" w:rsidRPr="00000000" w14:paraId="0000009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29/3/2019</w:t>
          </w:r>
        </w:p>
      </w:tc>
      <w:tc>
        <w:tcPr>
          <w:vAlign w:val="center"/>
        </w:tcPr>
        <w:p w:rsidR="00000000" w:rsidDel="00000000" w:rsidP="00000000" w:rsidRDefault="00000000" w:rsidRPr="00000000" w14:paraId="0000009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9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Criteris Avaluació CF LOGSE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9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color w:val="80808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7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9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center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versió 4</w:t>
          </w:r>
        </w:p>
      </w:tc>
      <w:tc>
        <w:tcPr>
          <w:vAlign w:val="center"/>
        </w:tcPr>
        <w:p w:rsidR="00000000" w:rsidDel="00000000" w:rsidP="00000000" w:rsidRDefault="00000000" w:rsidRPr="00000000" w14:paraId="0000009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9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Coor. pedagògica</w:t>
          </w:r>
        </w:p>
      </w:tc>
      <w:tc>
        <w:tcPr>
          <w:vAlign w:val="center"/>
        </w:tcPr>
        <w:p w:rsidR="00000000" w:rsidDel="00000000" w:rsidP="00000000" w:rsidRDefault="00000000" w:rsidRPr="00000000" w14:paraId="0000009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jc w:val="righ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A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color w:val="808080"/>
              <w:sz w:val="16"/>
              <w:szCs w:val="16"/>
              <w:rtl w:val="0"/>
            </w:rPr>
            <w:t xml:space="preserve">MO-PRO028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9180.0" w:type="dxa"/>
      <w:jc w:val="left"/>
      <w:tblBorders>
        <w:bottom w:color="000000" w:space="0" w:sz="4" w:val="single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0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85">
          <w:pPr>
            <w:tabs>
              <w:tab w:val="left" w:leader="none" w:pos="567"/>
            </w:tabs>
            <w:rPr>
              <w:color w:val="333333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-903601</wp:posOffset>
                </wp:positionH>
                <wp:positionV relativeFrom="paragraph">
                  <wp:posOffset>-1901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descr="logo_insti_definitiu_fons_transparent_PETIT" id="8" name="image2.png"/>
                <a:graphic>
                  <a:graphicData uri="http://schemas.openxmlformats.org/drawingml/2006/picture">
                    <pic:pic>
                      <pic:nvPicPr>
                        <pic:cNvPr descr="logo_insti_definitiu_fons_transparent_PETIT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86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CRITERIS D'AVALUACIÓ</w:t>
          </w:r>
        </w:p>
      </w:tc>
    </w:tr>
    <w:tr>
      <w:trPr>
        <w:cantSplit w:val="0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rPr>
              <w:rFonts w:ascii="Arial" w:cs="Arial" w:eastAsia="Arial" w:hAnsi="Arial"/>
              <w:color w:val="333333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18"/>
              <w:szCs w:val="18"/>
              <w:rtl w:val="0"/>
            </w:rPr>
            <w:t xml:space="preserve">Departament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rPr>
              <w:rFonts w:ascii="Arial" w:cs="Arial" w:eastAsia="Arial" w:hAnsi="Arial"/>
              <w:color w:val="333333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18"/>
              <w:szCs w:val="18"/>
              <w:rtl w:val="0"/>
            </w:rPr>
            <w:t xml:space="preserve">Sanitària</w:t>
          </w:r>
        </w:p>
      </w:tc>
    </w:tr>
    <w:tr>
      <w:trPr>
        <w:cantSplit w:val="0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333333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rPr>
              <w:rFonts w:ascii="Arial" w:cs="Arial" w:eastAsia="Arial" w:hAnsi="Arial"/>
              <w:color w:val="333333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18"/>
              <w:szCs w:val="18"/>
              <w:rtl w:val="0"/>
            </w:rPr>
            <w:t xml:space="preserve">Cicle Formatiu</w:t>
          </w:r>
        </w:p>
      </w:tc>
      <w:tc>
        <w:tcPr>
          <w:vAlign w:val="center"/>
        </w:tcPr>
        <w:p w:rsidR="00000000" w:rsidDel="00000000" w:rsidP="00000000" w:rsidRDefault="00000000" w:rsidRPr="00000000" w14:paraId="0000008D">
          <w:pPr>
            <w:rPr>
              <w:rFonts w:ascii="Arial" w:cs="Arial" w:eastAsia="Arial" w:hAnsi="Arial"/>
              <w:color w:val="333333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333333"/>
              <w:sz w:val="18"/>
              <w:szCs w:val="18"/>
              <w:rtl w:val="0"/>
            </w:rPr>
            <w:t xml:space="preserve">CFGM Cures Auxiliars d´infermeria (CAI)</w:t>
          </w:r>
        </w:p>
      </w:tc>
    </w:tr>
  </w:tbl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Rule="auto"/>
    </w:pPr>
    <w:rPr>
      <w:rFonts w:ascii="Times" w:cs="Times" w:eastAsia="Times" w:hAnsi="Times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60" w:before="240" w:lineRule="auto"/>
    </w:pPr>
    <w:rPr>
      <w:rFonts w:ascii="Times" w:cs="Times" w:eastAsia="Times" w:hAnsi="Times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  <w:lang w:eastAsia="ca-ES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pPr>
      <w:keepNext w:val="1"/>
      <w:widowControl w:val="0"/>
      <w:suppressAutoHyphens w:val="1"/>
      <w:spacing w:after="60" w:before="240"/>
      <w:outlineLvl w:val="2"/>
    </w:pPr>
    <w:rPr>
      <w:rFonts w:ascii="Times" w:cs="Arial" w:eastAsia="DejaVu Sans" w:hAnsi="Times"/>
      <w:b w:val="1"/>
      <w:bCs w:val="1"/>
      <w:kern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semiHidden w:val="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 w:val="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TextdeglobusCar" w:customStyle="1">
    <w:name w:val="Text de globus Car"/>
    <w:rPr>
      <w:rFonts w:ascii="Tahoma" w:cs="Tahoma" w:hAnsi="Tahoma"/>
      <w:sz w:val="16"/>
      <w:szCs w:val="16"/>
      <w:lang w:eastAsia="es-ES" w:val="es-ES"/>
    </w:rPr>
  </w:style>
  <w:style w:type="character" w:styleId="PeuCar" w:customStyle="1">
    <w:name w:val="Peu Car"/>
    <w:rPr>
      <w:sz w:val="24"/>
      <w:szCs w:val="24"/>
    </w:rPr>
  </w:style>
  <w:style w:type="table" w:styleId="Tablaconcuadrcula">
    <w:name w:val="Table Grid"/>
    <w:basedOn w:val="Tablanormal"/>
    <w:uiPriority w:val="59"/>
    <w:rsid w:val="000F0E1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66779"/>
    <w:pPr>
      <w:ind w:left="708"/>
    </w:pPr>
  </w:style>
  <w:style w:type="character" w:styleId="Textodelmarcadordeposicin">
    <w:name w:val="Placeholder Text"/>
    <w:basedOn w:val="Fuentedeprrafopredeter"/>
    <w:uiPriority w:val="99"/>
    <w:semiHidden w:val="1"/>
    <w:rsid w:val="000909EC"/>
    <w:rPr>
      <w:color w:val="808080"/>
    </w:rPr>
  </w:style>
  <w:style w:type="character" w:styleId="Ttulo3Car" w:customStyle="1">
    <w:name w:val="Título 3 Car"/>
    <w:basedOn w:val="Fuentedeprrafopredeter"/>
    <w:link w:val="Ttulo3"/>
    <w:rsid w:val="00892949"/>
    <w:rPr>
      <w:rFonts w:ascii="Times" w:cs="Arial" w:eastAsia="DejaVu Sans" w:hAnsi="Times"/>
      <w:b w:val="1"/>
      <w:bCs w:val="1"/>
      <w:kern w:val="1"/>
      <w:sz w:val="26"/>
      <w:szCs w:val="26"/>
      <w:lang w:eastAsia="es-ES" w:val="ca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bwvw09umcTwe9zeuhz/lmqUYw==">CgMxLjAaFAoBMBIPCg0IB0IJEgdHdW5nc3VoMghoLmdqZGd4czIIaC5namRneHM4AHIhMUJRbUZGS2U1aGNxaFh1ZkRadHVRZWJUSEw4YmF1a0g0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2020-08-17T10:17:00Z</dcterms:created>
  <dc:creator>j&amp;n</dc:creator>
</cp:coreProperties>
</file>